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F00" w:rsidRPr="00A51656" w:rsidRDefault="00D026E4" w:rsidP="00E56F00">
      <w:pPr>
        <w:ind w:left="1560" w:right="1558"/>
        <w:jc w:val="both"/>
        <w:rPr>
          <w:rFonts w:ascii="Arial" w:hAnsi="Arial" w:cs="Arial"/>
          <w:i/>
          <w:sz w:val="22"/>
          <w:szCs w:val="22"/>
        </w:rPr>
      </w:pPr>
      <w:r w:rsidRPr="00D026E4">
        <w:rPr>
          <w:rFonts w:ascii="Tahoma" w:hAnsi="Tahoma" w:cs="Tahoma"/>
          <w:b/>
          <w:i/>
          <w:sz w:val="22"/>
          <w:szCs w:val="22"/>
        </w:rPr>
        <w:t>Sumilla:</w:t>
      </w:r>
      <w:r w:rsidRPr="00D026E4">
        <w:rPr>
          <w:rFonts w:ascii="Tahoma" w:hAnsi="Tahoma" w:cs="Tahoma"/>
          <w:i/>
          <w:sz w:val="22"/>
          <w:szCs w:val="22"/>
        </w:rPr>
        <w:t xml:space="preserve"> “</w:t>
      </w:r>
      <w:r w:rsidR="00E56F00" w:rsidRPr="00A51656">
        <w:rPr>
          <w:rFonts w:ascii="Arial" w:hAnsi="Arial" w:cs="Arial"/>
          <w:i/>
          <w:sz w:val="22"/>
          <w:szCs w:val="22"/>
        </w:rPr>
        <w:t xml:space="preserve">No se configura la infracción consistente en la falta de suscripción injustificada del contrato por parte del postor ganador de la buena pro, si </w:t>
      </w:r>
      <w:smartTag w:uri="urn:schemas-microsoft-com:office:smarttags" w:element="PersonName">
        <w:smartTagPr>
          <w:attr w:name="ProductID" w:val="la Entidad"/>
        </w:smartTagPr>
        <w:r w:rsidR="00E56F00" w:rsidRPr="00A51656">
          <w:rPr>
            <w:rFonts w:ascii="Arial" w:hAnsi="Arial" w:cs="Arial"/>
            <w:i/>
            <w:sz w:val="22"/>
            <w:szCs w:val="22"/>
          </w:rPr>
          <w:t>la Entidad</w:t>
        </w:r>
      </w:smartTag>
      <w:r w:rsidR="00E56F00" w:rsidRPr="00A51656">
        <w:rPr>
          <w:rFonts w:ascii="Arial" w:hAnsi="Arial" w:cs="Arial"/>
          <w:i/>
          <w:sz w:val="22"/>
          <w:szCs w:val="22"/>
        </w:rPr>
        <w:t xml:space="preserve"> no ha seguido el procedimiento establecido para proceder a dicha suscripción.</w:t>
      </w:r>
      <w:r w:rsidR="00E56F00">
        <w:rPr>
          <w:rFonts w:ascii="Arial" w:hAnsi="Arial" w:cs="Arial"/>
          <w:i/>
          <w:sz w:val="22"/>
          <w:szCs w:val="22"/>
        </w:rPr>
        <w:t>”</w:t>
      </w:r>
    </w:p>
    <w:p w:rsidR="00D026E4" w:rsidRPr="00D026E4" w:rsidRDefault="00D026E4" w:rsidP="00E56F00">
      <w:pPr>
        <w:ind w:left="1843" w:right="1558"/>
        <w:jc w:val="both"/>
        <w:rPr>
          <w:rFonts w:ascii="Tahoma" w:hAnsi="Tahoma" w:cs="Tahoma"/>
          <w:i/>
          <w:sz w:val="22"/>
          <w:szCs w:val="22"/>
        </w:rPr>
      </w:pPr>
    </w:p>
    <w:p w:rsidR="00D026E4" w:rsidRPr="00D026E4" w:rsidRDefault="00D026E4" w:rsidP="00D026E4">
      <w:pPr>
        <w:pStyle w:val="Textoindependiente3"/>
        <w:spacing w:after="0"/>
        <w:ind w:left="5387"/>
        <w:jc w:val="both"/>
        <w:rPr>
          <w:rFonts w:ascii="Tahoma" w:hAnsi="Tahoma" w:cs="Tahoma"/>
          <w:b/>
          <w:sz w:val="22"/>
          <w:szCs w:val="22"/>
        </w:rPr>
      </w:pPr>
      <w:r w:rsidRPr="00D026E4">
        <w:rPr>
          <w:rFonts w:ascii="Tahoma" w:hAnsi="Tahoma" w:cs="Tahoma"/>
          <w:b/>
          <w:sz w:val="22"/>
          <w:szCs w:val="22"/>
        </w:rPr>
        <w:t>Lima,</w:t>
      </w:r>
      <w:r w:rsidR="00282FEA">
        <w:rPr>
          <w:rFonts w:ascii="Tahoma" w:hAnsi="Tahoma" w:cs="Tahoma"/>
          <w:b/>
          <w:sz w:val="22"/>
          <w:szCs w:val="22"/>
        </w:rPr>
        <w:t xml:space="preserve"> 16 de Mayo de 2011</w:t>
      </w:r>
    </w:p>
    <w:p w:rsidR="00D026E4" w:rsidRPr="00D026E4" w:rsidRDefault="00D026E4" w:rsidP="00D026E4">
      <w:pPr>
        <w:pStyle w:val="Textoindependiente3"/>
        <w:spacing w:after="0"/>
        <w:ind w:left="5387"/>
        <w:jc w:val="both"/>
        <w:rPr>
          <w:rFonts w:ascii="Tahoma" w:hAnsi="Tahoma" w:cs="Tahoma"/>
          <w:b/>
          <w:sz w:val="22"/>
          <w:szCs w:val="22"/>
        </w:rPr>
      </w:pPr>
    </w:p>
    <w:p w:rsidR="00D026E4" w:rsidRDefault="00D026E4" w:rsidP="00E56F00">
      <w:pPr>
        <w:ind w:left="567" w:firstLine="567"/>
        <w:contextualSpacing/>
        <w:jc w:val="both"/>
        <w:rPr>
          <w:rFonts w:ascii="Tahoma" w:hAnsi="Tahoma" w:cs="Tahoma"/>
          <w:sz w:val="22"/>
          <w:szCs w:val="22"/>
        </w:rPr>
      </w:pPr>
      <w:r w:rsidRPr="00D026E4">
        <w:rPr>
          <w:rFonts w:ascii="Tahoma" w:hAnsi="Tahoma" w:cs="Tahoma"/>
          <w:b/>
          <w:sz w:val="22"/>
          <w:szCs w:val="22"/>
        </w:rPr>
        <w:t xml:space="preserve">Visto </w:t>
      </w:r>
      <w:r w:rsidRPr="00D026E4">
        <w:rPr>
          <w:rFonts w:ascii="Tahoma" w:hAnsi="Tahoma" w:cs="Tahoma"/>
          <w:sz w:val="22"/>
          <w:szCs w:val="22"/>
        </w:rPr>
        <w:t xml:space="preserve">en sesión de fecha </w:t>
      </w:r>
      <w:r w:rsidR="00E56F00">
        <w:rPr>
          <w:rFonts w:ascii="Tahoma" w:hAnsi="Tahoma" w:cs="Tahoma"/>
          <w:sz w:val="22"/>
          <w:szCs w:val="22"/>
        </w:rPr>
        <w:t>12</w:t>
      </w:r>
      <w:r w:rsidRPr="00D026E4">
        <w:rPr>
          <w:rFonts w:ascii="Tahoma" w:hAnsi="Tahoma" w:cs="Tahoma"/>
          <w:sz w:val="22"/>
          <w:szCs w:val="22"/>
        </w:rPr>
        <w:t xml:space="preserve"> de </w:t>
      </w:r>
      <w:r w:rsidR="00E56F00">
        <w:rPr>
          <w:rFonts w:ascii="Tahoma" w:hAnsi="Tahoma" w:cs="Tahoma"/>
          <w:sz w:val="22"/>
          <w:szCs w:val="22"/>
        </w:rPr>
        <w:t>mayo</w:t>
      </w:r>
      <w:r w:rsidRPr="00D026E4">
        <w:rPr>
          <w:rFonts w:ascii="Tahoma" w:hAnsi="Tahoma" w:cs="Tahoma"/>
          <w:sz w:val="22"/>
          <w:szCs w:val="22"/>
        </w:rPr>
        <w:t xml:space="preserve"> de 2011 la Primera Sala del Tribunal de Contrataciones del Estado el Expediente N° </w:t>
      </w:r>
      <w:r w:rsidR="00E56F00">
        <w:rPr>
          <w:rFonts w:ascii="Tahoma" w:hAnsi="Tahoma" w:cs="Tahoma"/>
          <w:sz w:val="22"/>
          <w:szCs w:val="22"/>
        </w:rPr>
        <w:t>1556</w:t>
      </w:r>
      <w:r w:rsidRPr="00D026E4">
        <w:rPr>
          <w:rFonts w:ascii="Tahoma" w:hAnsi="Tahoma" w:cs="Tahoma"/>
          <w:sz w:val="22"/>
          <w:szCs w:val="22"/>
        </w:rPr>
        <w:t xml:space="preserve">-2010-TC; sobre el procedimiento administrativo sancionador iniciado contra </w:t>
      </w:r>
      <w:r w:rsidR="00E56F00">
        <w:rPr>
          <w:rFonts w:ascii="Tahoma" w:hAnsi="Tahoma" w:cs="Tahoma"/>
          <w:sz w:val="22"/>
          <w:szCs w:val="22"/>
        </w:rPr>
        <w:t>el Consorcio integrado por las empresas Confecciones y Creaciones Modernas SAC y Francisco Jaime Sánchez Haro</w:t>
      </w:r>
      <w:r w:rsidRPr="00D026E4">
        <w:rPr>
          <w:rFonts w:ascii="Tahoma" w:hAnsi="Tahoma" w:cs="Tahoma"/>
          <w:sz w:val="22"/>
          <w:szCs w:val="22"/>
        </w:rPr>
        <w:t xml:space="preserve"> </w:t>
      </w:r>
      <w:r w:rsidR="00E56F00">
        <w:rPr>
          <w:rFonts w:ascii="Tahoma" w:hAnsi="Tahoma" w:cs="Tahoma"/>
          <w:sz w:val="22"/>
          <w:szCs w:val="22"/>
        </w:rPr>
        <w:t xml:space="preserve">SAC </w:t>
      </w:r>
      <w:r w:rsidRPr="00D026E4">
        <w:rPr>
          <w:rFonts w:ascii="Tahoma" w:hAnsi="Tahoma" w:cs="Tahoma"/>
          <w:color w:val="000000" w:themeColor="text1"/>
          <w:sz w:val="22"/>
          <w:szCs w:val="22"/>
          <w:lang w:val="es-MX"/>
        </w:rPr>
        <w:t xml:space="preserve">por </w:t>
      </w:r>
      <w:r w:rsidR="00E56F00">
        <w:rPr>
          <w:rFonts w:ascii="Tahoma" w:hAnsi="Tahoma" w:cs="Tahoma"/>
          <w:color w:val="000000" w:themeColor="text1"/>
          <w:sz w:val="22"/>
          <w:szCs w:val="22"/>
          <w:lang w:val="es-MX"/>
        </w:rPr>
        <w:t>la no suscripción de contrato con la Dirección Regional de Cultura de Cusco</w:t>
      </w:r>
      <w:r w:rsidR="00E56F00">
        <w:rPr>
          <w:rFonts w:ascii="Tahoma" w:hAnsi="Tahoma" w:cs="Tahoma"/>
          <w:sz w:val="22"/>
          <w:szCs w:val="22"/>
        </w:rPr>
        <w:t>-Ministerio de Cultura de Cusco.</w:t>
      </w:r>
    </w:p>
    <w:p w:rsidR="00E56F00" w:rsidRPr="00D026E4" w:rsidRDefault="00E56F00" w:rsidP="00D026E4">
      <w:pPr>
        <w:ind w:firstLine="567"/>
        <w:contextualSpacing/>
        <w:jc w:val="both"/>
        <w:rPr>
          <w:rFonts w:ascii="Tahoma" w:hAnsi="Tahoma" w:cs="Tahoma"/>
          <w:b/>
          <w:sz w:val="22"/>
          <w:szCs w:val="22"/>
          <w:lang w:val="es-ES_tradnl"/>
        </w:rPr>
      </w:pPr>
    </w:p>
    <w:p w:rsidR="00D026E4" w:rsidRPr="00D026E4" w:rsidRDefault="00D026E4" w:rsidP="00E56F00">
      <w:pPr>
        <w:pStyle w:val="Prrafodelista"/>
        <w:ind w:left="567"/>
        <w:rPr>
          <w:rFonts w:ascii="Tahoma" w:hAnsi="Tahoma" w:cs="Tahoma"/>
          <w:b/>
          <w:sz w:val="22"/>
          <w:szCs w:val="22"/>
        </w:rPr>
      </w:pPr>
      <w:r w:rsidRPr="00D026E4">
        <w:rPr>
          <w:rFonts w:ascii="Tahoma" w:hAnsi="Tahoma" w:cs="Tahoma"/>
          <w:b/>
          <w:sz w:val="22"/>
          <w:szCs w:val="22"/>
        </w:rPr>
        <w:t>ANTECEDENTES:</w:t>
      </w:r>
    </w:p>
    <w:p w:rsidR="00D026E4" w:rsidRPr="00D026E4" w:rsidRDefault="00D026E4" w:rsidP="00D026E4">
      <w:pPr>
        <w:jc w:val="both"/>
        <w:rPr>
          <w:rFonts w:ascii="Tahoma" w:hAnsi="Tahoma" w:cs="Tahoma"/>
          <w:b/>
          <w:sz w:val="22"/>
          <w:szCs w:val="22"/>
          <w:lang w:eastAsia="es-PE"/>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El 02 de agosto de 2010, el Ministerio de Cultura, en lo sucesivo, la Entidad, otorgó la Buena Pro del Ítem 6 del proceso de Licitación Pública Nº 008-2010 convocado para la “Adquisición de vestuario para el personal de la Entidad” al Consorcio integrado por las empresas Confecciones y Creaciones Modernas SAC y Francisco Jaime Sánchez Haro SAC.</w:t>
      </w:r>
    </w:p>
    <w:p w:rsidR="00D026E4" w:rsidRPr="00D026E4" w:rsidRDefault="00D026E4" w:rsidP="00D026E4">
      <w:pPr>
        <w:pStyle w:val="Prrafodelista"/>
        <w:ind w:left="567"/>
        <w:contextualSpacing/>
        <w:jc w:val="both"/>
        <w:rPr>
          <w:rFonts w:ascii="Tahoma" w:hAnsi="Tahoma"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El 16 y 18 de agosto de 2010, la Entidad remitió vía fax al Consorcio una carta de citación para que se lleve a cabo la suscripción del contrato correspondiente, otorgándole al Postor un plazo de 5 días a fin que se acerque con los documentos precisados en dicha Carta.</w:t>
      </w:r>
    </w:p>
    <w:p w:rsidR="00D026E4" w:rsidRPr="00D026E4" w:rsidRDefault="00D026E4" w:rsidP="00D026E4">
      <w:pPr>
        <w:pStyle w:val="Prrafodelista"/>
        <w:rPr>
          <w:rFonts w:ascii="Tahoma" w:hAnsi="Tahoma"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Sin embargo, el 27 de setiembre de 2010 el Postor remite a la Entidad una carta señalando lo siguiente:</w:t>
      </w:r>
    </w:p>
    <w:p w:rsidR="00D026E4" w:rsidRPr="00D026E4" w:rsidRDefault="00D026E4" w:rsidP="00D026E4">
      <w:pPr>
        <w:pStyle w:val="Prrafodelista"/>
        <w:rPr>
          <w:rFonts w:ascii="Tahoma" w:hAnsi="Tahoma" w:cs="Tahoma"/>
          <w:sz w:val="22"/>
          <w:szCs w:val="22"/>
        </w:rPr>
      </w:pPr>
    </w:p>
    <w:p w:rsidR="00D026E4" w:rsidRPr="00D026E4" w:rsidRDefault="00D026E4" w:rsidP="00D026E4">
      <w:pPr>
        <w:pStyle w:val="Prrafodelista"/>
        <w:ind w:left="567"/>
        <w:contextualSpacing/>
        <w:jc w:val="both"/>
        <w:rPr>
          <w:rFonts w:ascii="Arial Narrow" w:hAnsi="Arial Narrow" w:cs="Tahoma"/>
          <w:i/>
          <w:sz w:val="22"/>
          <w:szCs w:val="22"/>
        </w:rPr>
      </w:pPr>
      <w:r w:rsidRPr="00D026E4">
        <w:rPr>
          <w:rFonts w:ascii="Arial Narrow" w:hAnsi="Arial Narrow" w:cs="Tahoma"/>
          <w:i/>
          <w:sz w:val="22"/>
          <w:szCs w:val="22"/>
        </w:rPr>
        <w:t>“Por medio de la presente, nos es grato dirigirnos a ustedes con la finalidad de manifestarles nuestra preocupación e informarles lo siguiente:</w:t>
      </w:r>
    </w:p>
    <w:p w:rsidR="00D026E4" w:rsidRPr="00D026E4" w:rsidRDefault="00D026E4" w:rsidP="00D026E4">
      <w:pPr>
        <w:pStyle w:val="Prrafodelista"/>
        <w:ind w:left="567"/>
        <w:contextualSpacing/>
        <w:jc w:val="both"/>
        <w:rPr>
          <w:rFonts w:ascii="Arial Narrow" w:hAnsi="Arial Narrow" w:cs="Tahoma"/>
          <w:i/>
          <w:sz w:val="22"/>
          <w:szCs w:val="22"/>
        </w:rPr>
      </w:pPr>
    </w:p>
    <w:p w:rsidR="00D026E4" w:rsidRPr="00D026E4" w:rsidRDefault="00D026E4" w:rsidP="00D026E4">
      <w:pPr>
        <w:pStyle w:val="Prrafodelista"/>
        <w:widowControl/>
        <w:numPr>
          <w:ilvl w:val="0"/>
          <w:numId w:val="7"/>
        </w:numPr>
        <w:suppressAutoHyphens w:val="0"/>
        <w:contextualSpacing/>
        <w:jc w:val="both"/>
        <w:rPr>
          <w:rFonts w:ascii="Arial Narrow" w:hAnsi="Arial Narrow" w:cs="Tahoma"/>
          <w:i/>
          <w:sz w:val="22"/>
          <w:szCs w:val="22"/>
        </w:rPr>
      </w:pPr>
      <w:r w:rsidRPr="00D026E4">
        <w:rPr>
          <w:rFonts w:ascii="Arial Narrow" w:hAnsi="Arial Narrow" w:cs="Tahoma"/>
          <w:i/>
          <w:sz w:val="22"/>
          <w:szCs w:val="22"/>
        </w:rPr>
        <w:t>Que participamos en este proceso de selección habiendo sido favorecidos con la Buena Pro en el Item 6 “zapatos caña alta con punta de acero”</w:t>
      </w:r>
    </w:p>
    <w:p w:rsidR="00D026E4" w:rsidRPr="00D026E4" w:rsidRDefault="00D026E4" w:rsidP="00D026E4">
      <w:pPr>
        <w:pStyle w:val="Prrafodelista"/>
        <w:widowControl/>
        <w:numPr>
          <w:ilvl w:val="0"/>
          <w:numId w:val="7"/>
        </w:numPr>
        <w:suppressAutoHyphens w:val="0"/>
        <w:contextualSpacing/>
        <w:jc w:val="both"/>
        <w:rPr>
          <w:rFonts w:ascii="Arial Narrow" w:hAnsi="Arial Narrow" w:cs="Tahoma"/>
          <w:i/>
          <w:sz w:val="22"/>
          <w:szCs w:val="22"/>
        </w:rPr>
      </w:pPr>
      <w:r w:rsidRPr="00D026E4">
        <w:rPr>
          <w:rFonts w:ascii="Arial Narrow" w:hAnsi="Arial Narrow" w:cs="Tahoma"/>
          <w:i/>
          <w:sz w:val="22"/>
          <w:szCs w:val="22"/>
        </w:rPr>
        <w:t>Recibimos su orden de compra Nº 1466 de fecha 09.09.2010 en la cual no indicaban las tallas correspondientes, hemos venido solicitándoles y hasta la fecha no recibimos respuesta.</w:t>
      </w:r>
    </w:p>
    <w:p w:rsidR="00D026E4" w:rsidRPr="00D026E4" w:rsidRDefault="00D026E4" w:rsidP="00D026E4">
      <w:pPr>
        <w:pStyle w:val="Prrafodelista"/>
        <w:widowControl/>
        <w:numPr>
          <w:ilvl w:val="0"/>
          <w:numId w:val="7"/>
        </w:numPr>
        <w:suppressAutoHyphens w:val="0"/>
        <w:contextualSpacing/>
        <w:jc w:val="both"/>
        <w:rPr>
          <w:rFonts w:ascii="Arial Narrow" w:hAnsi="Arial Narrow" w:cs="Tahoma"/>
          <w:i/>
          <w:sz w:val="22"/>
          <w:szCs w:val="22"/>
        </w:rPr>
      </w:pPr>
      <w:r w:rsidRPr="00D026E4">
        <w:rPr>
          <w:rFonts w:ascii="Arial Narrow" w:hAnsi="Arial Narrow" w:cs="Tahoma"/>
          <w:i/>
          <w:sz w:val="22"/>
          <w:szCs w:val="22"/>
        </w:rPr>
        <w:t>Enviamos una muestra de calzado la cual fue confeccionada con las especificaciones, características y diseño de las Bases para su aprobación, antes de empezar con la producción, ésta no fue aprobada, comunicándonos el señor Gonzalo Zambrano unos días después mediante e mail las observaciones precisas a la muestra para subsanarlas.</w:t>
      </w:r>
    </w:p>
    <w:p w:rsidR="00D026E4" w:rsidRPr="00D026E4" w:rsidRDefault="00D026E4" w:rsidP="00D026E4">
      <w:pPr>
        <w:pStyle w:val="Prrafodelista"/>
        <w:widowControl/>
        <w:numPr>
          <w:ilvl w:val="0"/>
          <w:numId w:val="7"/>
        </w:numPr>
        <w:suppressAutoHyphens w:val="0"/>
        <w:contextualSpacing/>
        <w:jc w:val="both"/>
        <w:rPr>
          <w:rFonts w:ascii="Arial Narrow" w:hAnsi="Arial Narrow" w:cs="Tahoma"/>
          <w:i/>
          <w:sz w:val="22"/>
          <w:szCs w:val="22"/>
        </w:rPr>
      </w:pPr>
      <w:r w:rsidRPr="00D026E4">
        <w:rPr>
          <w:rFonts w:ascii="Arial Narrow" w:hAnsi="Arial Narrow" w:cs="Tahoma"/>
          <w:i/>
          <w:sz w:val="22"/>
          <w:szCs w:val="22"/>
        </w:rPr>
        <w:t xml:space="preserve">Hemos elaborado nuevamente una muestra con las debidas correcciones empleando el Sistema emplantillado Good Year Welt. Habiendo realizado un análisis de costos comprobamos que el precio ofertado a ustedes en este proceso no cubre los gastos de insumos y del proceso específico que exige la calidad de este calzado. Debemos informarles </w:t>
      </w:r>
      <w:r w:rsidRPr="00D026E4">
        <w:rPr>
          <w:rFonts w:ascii="Arial Narrow" w:hAnsi="Arial Narrow" w:cs="Tahoma"/>
          <w:i/>
          <w:sz w:val="22"/>
          <w:szCs w:val="22"/>
        </w:rPr>
        <w:lastRenderedPageBreak/>
        <w:t>que en las Bases no indicaban este sistema Good Year Welt para la confección de calzado, proceso que ustedes nos exigen posteriormente lo cual no nos permite el costo atenderles su requerimiento, igualmente les hemos enviado por Macro Post SAC con Guía de Remisión Nº 001-001621 de fecha 25.09.2010.</w:t>
      </w:r>
    </w:p>
    <w:p w:rsidR="00D026E4" w:rsidRPr="00D026E4" w:rsidRDefault="00D026E4" w:rsidP="00D026E4">
      <w:pPr>
        <w:pStyle w:val="Prrafodelista"/>
        <w:widowControl/>
        <w:numPr>
          <w:ilvl w:val="0"/>
          <w:numId w:val="7"/>
        </w:numPr>
        <w:suppressAutoHyphens w:val="0"/>
        <w:contextualSpacing/>
        <w:jc w:val="both"/>
        <w:rPr>
          <w:rFonts w:ascii="Arial Narrow" w:hAnsi="Arial Narrow" w:cs="Tahoma"/>
          <w:i/>
          <w:sz w:val="22"/>
          <w:szCs w:val="22"/>
        </w:rPr>
      </w:pPr>
      <w:r w:rsidRPr="00D026E4">
        <w:rPr>
          <w:rFonts w:ascii="Arial Narrow" w:hAnsi="Arial Narrow" w:cs="Tahoma"/>
          <w:i/>
          <w:sz w:val="22"/>
          <w:szCs w:val="22"/>
        </w:rPr>
        <w:t>En definitiva resulta evidente nuestro interés en producir los bienes contratados encontrándonos ante una imposibilidad que va más allá de nuestra voluntad.</w:t>
      </w:r>
    </w:p>
    <w:p w:rsidR="00D026E4" w:rsidRPr="00D026E4" w:rsidRDefault="00D026E4" w:rsidP="00D026E4">
      <w:pPr>
        <w:pStyle w:val="Prrafodelista"/>
        <w:widowControl/>
        <w:numPr>
          <w:ilvl w:val="0"/>
          <w:numId w:val="7"/>
        </w:numPr>
        <w:suppressAutoHyphens w:val="0"/>
        <w:contextualSpacing/>
        <w:jc w:val="both"/>
        <w:rPr>
          <w:rFonts w:ascii="Arial Narrow" w:hAnsi="Arial Narrow" w:cs="Tahoma"/>
          <w:i/>
          <w:sz w:val="22"/>
          <w:szCs w:val="22"/>
        </w:rPr>
      </w:pPr>
      <w:r w:rsidRPr="00D026E4">
        <w:rPr>
          <w:rFonts w:ascii="Arial Narrow" w:hAnsi="Arial Narrow" w:cs="Tahoma"/>
          <w:i/>
          <w:sz w:val="22"/>
          <w:szCs w:val="22"/>
        </w:rPr>
        <w:t>Lamentamos informarles que en esta oportunidad no podemos atenderles su orden de compra indicada al rubro, como en otras oportunidades.</w:t>
      </w:r>
    </w:p>
    <w:p w:rsidR="00D026E4" w:rsidRPr="00D026E4" w:rsidRDefault="00D026E4" w:rsidP="00D026E4">
      <w:pPr>
        <w:pStyle w:val="Prrafodelista"/>
        <w:ind w:left="927"/>
        <w:contextualSpacing/>
        <w:jc w:val="both"/>
        <w:rPr>
          <w:rFonts w:ascii="Arial Narrow" w:hAnsi="Arial Narrow" w:cs="Tahoma"/>
          <w:i/>
          <w:sz w:val="22"/>
          <w:szCs w:val="22"/>
        </w:rPr>
      </w:pPr>
    </w:p>
    <w:p w:rsidR="00D026E4" w:rsidRPr="00D026E4" w:rsidRDefault="00D026E4" w:rsidP="00D026E4">
      <w:pPr>
        <w:ind w:left="567"/>
        <w:contextualSpacing/>
        <w:jc w:val="both"/>
        <w:rPr>
          <w:rFonts w:ascii="Arial Narrow" w:hAnsi="Arial Narrow" w:cs="Tahoma"/>
          <w:i/>
          <w:sz w:val="22"/>
          <w:szCs w:val="22"/>
        </w:rPr>
      </w:pPr>
      <w:r w:rsidRPr="00D026E4">
        <w:rPr>
          <w:rFonts w:ascii="Arial Narrow" w:hAnsi="Arial Narrow" w:cs="Tahoma"/>
          <w:i/>
          <w:sz w:val="22"/>
          <w:szCs w:val="22"/>
        </w:rPr>
        <w:t>Somos conscientes de nuestra responsabilidad y acudimos a ustedes, rogándoles considerar la dificultas casi insalvable de conseguir los insumos necesarios y a un bajo costo, agradeciéndoles el tener en cuenta nuestro record de buen cumplimiento y las dificultades que no estuvieron a nuestro alcance resolver al evaluar esta difícil situación para nuestra empresa y a sus trabajadores.”</w:t>
      </w:r>
    </w:p>
    <w:p w:rsidR="00D026E4" w:rsidRPr="00D026E4" w:rsidRDefault="00D026E4" w:rsidP="00D026E4">
      <w:pPr>
        <w:pStyle w:val="Prrafodelista"/>
        <w:rPr>
          <w:rFonts w:ascii="Arial Narrow" w:hAnsi="Arial Narrow"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Mediante decreto de fecha 08 de noviembre de 2010, la Secretaría del Tribunal solicitó previamente a la Entidad, que en el plazo de diez (10) días hábiles, cumpla con remitir copia de la carta debidamente recibida por el postor mediante la cual se citó para la suscripción del contrato.</w:t>
      </w:r>
    </w:p>
    <w:p w:rsidR="00D026E4" w:rsidRPr="00D026E4" w:rsidRDefault="00D026E4" w:rsidP="00D026E4">
      <w:pPr>
        <w:pStyle w:val="Prrafodelista"/>
        <w:rPr>
          <w:rFonts w:ascii="Tahoma" w:hAnsi="Tahoma"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El 01 de diciembre de 2010, la Entidad remitió el Oficio Nº 337-2010-DRC-C/MC, mediante el cual señaló que la carta de citación no fue notarial y fue remitida vía fax.</w:t>
      </w:r>
    </w:p>
    <w:p w:rsidR="00D026E4" w:rsidRPr="00D026E4" w:rsidRDefault="00D026E4" w:rsidP="00D026E4">
      <w:pPr>
        <w:pStyle w:val="Prrafodelista"/>
        <w:rPr>
          <w:rFonts w:ascii="Tahoma" w:hAnsi="Tahoma"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Mediante decreto del 09 de diciembre de 2010 se inicio procedimiento administrativo sancionador a las empresas Confecciones y Creaciones Modernas SAC y Francisco Jaime Sánchez Haro SAC, integrantes del Consorcio y se le notificó para que en el plazo de diez (10) días cumpla con presentar sus descargos.</w:t>
      </w:r>
    </w:p>
    <w:p w:rsidR="00D026E4" w:rsidRPr="00D026E4" w:rsidRDefault="00D026E4" w:rsidP="00D026E4">
      <w:pPr>
        <w:pStyle w:val="Prrafodelista"/>
        <w:ind w:left="567"/>
        <w:contextualSpacing/>
        <w:jc w:val="both"/>
        <w:rPr>
          <w:rFonts w:ascii="Tahoma" w:hAnsi="Tahoma" w:cs="Tahoma"/>
          <w:i/>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El 07 de enero de 2011 la empresa Confecciones y Creaciones Modernas SAC remitió a este Tribunal un escrito S/N señalando lo siguiente:</w:t>
      </w:r>
    </w:p>
    <w:p w:rsidR="00D026E4" w:rsidRPr="00D026E4" w:rsidRDefault="00D026E4" w:rsidP="00D026E4">
      <w:pPr>
        <w:pStyle w:val="Prrafodelista"/>
        <w:rPr>
          <w:rFonts w:ascii="Tahoma" w:hAnsi="Tahoma" w:cs="Tahoma"/>
          <w:sz w:val="22"/>
          <w:szCs w:val="22"/>
        </w:rPr>
      </w:pPr>
    </w:p>
    <w:p w:rsidR="00D026E4" w:rsidRPr="00D026E4" w:rsidRDefault="00D026E4" w:rsidP="00D026E4">
      <w:pPr>
        <w:pStyle w:val="Prrafodelista"/>
        <w:widowControl/>
        <w:numPr>
          <w:ilvl w:val="0"/>
          <w:numId w:val="8"/>
        </w:numPr>
        <w:suppressAutoHyphens w:val="0"/>
        <w:contextualSpacing/>
        <w:jc w:val="both"/>
        <w:rPr>
          <w:rFonts w:ascii="Tahoma" w:hAnsi="Tahoma" w:cs="Tahoma"/>
          <w:sz w:val="22"/>
          <w:szCs w:val="22"/>
        </w:rPr>
      </w:pPr>
      <w:r w:rsidRPr="00D026E4">
        <w:rPr>
          <w:rFonts w:ascii="Tahoma" w:hAnsi="Tahoma" w:cs="Tahoma"/>
          <w:sz w:val="22"/>
          <w:szCs w:val="22"/>
        </w:rPr>
        <w:t>Se le otorgó al buena pro al Postor a fin de entregar a la Entidad zapatos con caña alta con punta acero, consintiéndose el 12 de agosto de 2010.</w:t>
      </w:r>
    </w:p>
    <w:p w:rsidR="00D026E4" w:rsidRPr="00D026E4" w:rsidRDefault="00D026E4" w:rsidP="00D026E4">
      <w:pPr>
        <w:pStyle w:val="Prrafodelista"/>
        <w:widowControl/>
        <w:numPr>
          <w:ilvl w:val="0"/>
          <w:numId w:val="8"/>
        </w:numPr>
        <w:suppressAutoHyphens w:val="0"/>
        <w:contextualSpacing/>
        <w:jc w:val="both"/>
        <w:rPr>
          <w:rFonts w:ascii="Tahoma" w:hAnsi="Tahoma" w:cs="Tahoma"/>
          <w:sz w:val="22"/>
          <w:szCs w:val="22"/>
        </w:rPr>
      </w:pPr>
      <w:r w:rsidRPr="00D026E4">
        <w:rPr>
          <w:rFonts w:ascii="Tahoma" w:hAnsi="Tahoma" w:cs="Tahoma"/>
          <w:sz w:val="22"/>
          <w:szCs w:val="22"/>
        </w:rPr>
        <w:t>La Entidad solicitó al Postor una muestra, que se entregó el 27 de setiembre de 2010 a pesar que dicho requerimiento no estuvo contemplado en las Bases, la misma que fue observada por el  Lic. Gonzalo Zambrano Inchaustegui, a pesar de cumplir con la descripción de los bienes ofertados.</w:t>
      </w:r>
    </w:p>
    <w:p w:rsidR="00D026E4" w:rsidRPr="00D026E4" w:rsidRDefault="00D026E4" w:rsidP="00D026E4">
      <w:pPr>
        <w:pStyle w:val="Prrafodelista"/>
        <w:widowControl/>
        <w:numPr>
          <w:ilvl w:val="0"/>
          <w:numId w:val="8"/>
        </w:numPr>
        <w:suppressAutoHyphens w:val="0"/>
        <w:contextualSpacing/>
        <w:jc w:val="both"/>
        <w:rPr>
          <w:rFonts w:ascii="Tahoma" w:hAnsi="Tahoma" w:cs="Tahoma"/>
          <w:sz w:val="22"/>
          <w:szCs w:val="22"/>
        </w:rPr>
      </w:pPr>
      <w:r w:rsidRPr="00D026E4">
        <w:rPr>
          <w:rFonts w:ascii="Tahoma" w:hAnsi="Tahoma" w:cs="Tahoma"/>
          <w:sz w:val="22"/>
          <w:szCs w:val="22"/>
        </w:rPr>
        <w:t>A pesar de ello, y no siendo procedente la entrega de la muestra se procedió a subsanar las observaciones se presentó una segunda muestra, la cual fue nuevamente observada.</w:t>
      </w:r>
    </w:p>
    <w:p w:rsidR="00D026E4" w:rsidRPr="00D026E4" w:rsidRDefault="00D026E4" w:rsidP="00D026E4">
      <w:pPr>
        <w:pStyle w:val="Prrafodelista"/>
        <w:widowControl/>
        <w:numPr>
          <w:ilvl w:val="0"/>
          <w:numId w:val="8"/>
        </w:numPr>
        <w:suppressAutoHyphens w:val="0"/>
        <w:contextualSpacing/>
        <w:jc w:val="both"/>
        <w:rPr>
          <w:rFonts w:ascii="Tahoma" w:hAnsi="Tahoma" w:cs="Tahoma"/>
          <w:sz w:val="22"/>
          <w:szCs w:val="22"/>
        </w:rPr>
      </w:pPr>
      <w:r w:rsidRPr="00D026E4">
        <w:rPr>
          <w:rFonts w:ascii="Tahoma" w:hAnsi="Tahoma" w:cs="Tahoma"/>
          <w:sz w:val="22"/>
          <w:szCs w:val="22"/>
        </w:rPr>
        <w:t xml:space="preserve">En base a los detalles solicitados se puso en conocimiento de la Entidad la imposibilidad de cumplir con las características adicionales exigidas por el lic Gonzalo Zambrano, las mismas que no se encontraban en los requerimientos </w:t>
      </w:r>
      <w:r w:rsidRPr="00D026E4">
        <w:rPr>
          <w:rFonts w:ascii="Tahoma" w:hAnsi="Tahoma" w:cs="Tahoma"/>
          <w:sz w:val="22"/>
          <w:szCs w:val="22"/>
        </w:rPr>
        <w:lastRenderedPageBreak/>
        <w:t>de las Bases ni en lo ofertado, lo cual incrementaba el costo, por lo tanto, existió una imposibilidad física que conllevó a la no suscripción del contrato.</w:t>
      </w:r>
    </w:p>
    <w:p w:rsidR="00D026E4" w:rsidRPr="00D026E4" w:rsidRDefault="00D026E4" w:rsidP="00D026E4">
      <w:pPr>
        <w:pStyle w:val="Prrafodelista"/>
        <w:widowControl/>
        <w:numPr>
          <w:ilvl w:val="0"/>
          <w:numId w:val="8"/>
        </w:numPr>
        <w:suppressAutoHyphens w:val="0"/>
        <w:contextualSpacing/>
        <w:jc w:val="both"/>
        <w:rPr>
          <w:rFonts w:ascii="Tahoma" w:hAnsi="Tahoma" w:cs="Tahoma"/>
          <w:sz w:val="22"/>
          <w:szCs w:val="22"/>
        </w:rPr>
      </w:pPr>
      <w:r w:rsidRPr="00D026E4">
        <w:rPr>
          <w:rFonts w:ascii="Tahoma" w:hAnsi="Tahoma" w:cs="Tahoma"/>
          <w:sz w:val="22"/>
          <w:szCs w:val="22"/>
        </w:rPr>
        <w:t>De otro lado, señaló que la Entidad no cumplió con el procedimiento de citación para la suscripción del contrato porque teniendo en cuenta los plazos, la Entidad tenía hasta el 16 de agosto para citarlo, plazo incumplido considerando que la carta de citación fue remitida vía fax el 18 de agosto.</w:t>
      </w:r>
    </w:p>
    <w:p w:rsidR="00D026E4" w:rsidRPr="00D026E4" w:rsidRDefault="00D026E4" w:rsidP="00D026E4">
      <w:pPr>
        <w:pStyle w:val="Prrafodelista"/>
        <w:ind w:left="567"/>
        <w:contextualSpacing/>
        <w:jc w:val="both"/>
        <w:rPr>
          <w:rFonts w:ascii="Tahoma" w:hAnsi="Tahoma"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Mediante decreto de fecha 14 de enero de 2011 se tuvo por apersonado al Postor y se remitió el expediente a la Primera Sala del Tribunal.</w:t>
      </w:r>
    </w:p>
    <w:p w:rsidR="00D026E4" w:rsidRPr="00D026E4" w:rsidRDefault="00D026E4" w:rsidP="00D026E4">
      <w:pPr>
        <w:contextualSpacing/>
        <w:jc w:val="both"/>
        <w:rPr>
          <w:rFonts w:ascii="Tahoma" w:hAnsi="Tahoma" w:cs="Tahoma"/>
          <w:sz w:val="22"/>
          <w:szCs w:val="22"/>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Mediante decreto de 11 de mayo de 2011, este Tribunal solicitó la siguiente información adicional a la Entidad:</w:t>
      </w:r>
    </w:p>
    <w:p w:rsidR="00D026E4" w:rsidRPr="00D026E4" w:rsidRDefault="00D026E4" w:rsidP="00D026E4">
      <w:pPr>
        <w:contextualSpacing/>
        <w:jc w:val="both"/>
        <w:rPr>
          <w:rFonts w:ascii="Tahoma" w:hAnsi="Tahoma" w:cs="Tahoma"/>
          <w:sz w:val="22"/>
          <w:szCs w:val="22"/>
        </w:rPr>
      </w:pPr>
    </w:p>
    <w:p w:rsidR="00D026E4" w:rsidRPr="00D026E4" w:rsidRDefault="00D026E4" w:rsidP="00D026E4">
      <w:pPr>
        <w:ind w:left="567"/>
        <w:jc w:val="both"/>
        <w:rPr>
          <w:rFonts w:ascii="Tahoma" w:hAnsi="Tahoma" w:cs="Tahoma"/>
          <w:i/>
          <w:sz w:val="22"/>
          <w:szCs w:val="22"/>
          <w:lang w:val="es-ES_tradnl"/>
        </w:rPr>
      </w:pPr>
      <w:r w:rsidRPr="00D026E4">
        <w:rPr>
          <w:rFonts w:ascii="Tahoma" w:hAnsi="Tahoma" w:cs="Tahoma"/>
          <w:i/>
          <w:sz w:val="22"/>
          <w:szCs w:val="22"/>
          <w:lang w:val="es-ES_tradnl"/>
        </w:rPr>
        <w:t>“Teniendo en cuenta la denuncia formulada por su representada en contra del Consorcio Confecciones y Creaciones Modernas SAC y Francisco Jaime Sánchez Haro SAC, quien supuestamente habría incurrido en causal de sanción al no haber suscrito injustificadamente el contrato en el marco del proceso de LP Nº 0008-2010-DRC-INC cuyo objeto fue la “Adquisición de vestuario para el personal de la Entidad” y a fin que la Primera Sala tenga mayores elementos de juicio al momento de resolver el presente procedimiento, se requiere lo siguiente:</w:t>
      </w:r>
    </w:p>
    <w:p w:rsidR="00D026E4" w:rsidRPr="00D026E4" w:rsidRDefault="00D026E4" w:rsidP="00D026E4">
      <w:pPr>
        <w:jc w:val="both"/>
        <w:rPr>
          <w:rFonts w:ascii="Tahoma" w:hAnsi="Tahoma" w:cs="Tahoma"/>
          <w:i/>
          <w:sz w:val="22"/>
          <w:szCs w:val="22"/>
          <w:lang w:val="es-ES_tradnl"/>
        </w:rPr>
      </w:pPr>
    </w:p>
    <w:p w:rsidR="00D026E4" w:rsidRPr="00D026E4" w:rsidRDefault="00D026E4" w:rsidP="00D026E4">
      <w:pPr>
        <w:ind w:left="567"/>
        <w:jc w:val="both"/>
        <w:rPr>
          <w:rFonts w:ascii="Tahoma" w:hAnsi="Tahoma" w:cs="Tahoma"/>
          <w:b/>
          <w:i/>
          <w:sz w:val="22"/>
          <w:szCs w:val="22"/>
        </w:rPr>
      </w:pPr>
      <w:r w:rsidRPr="00D026E4">
        <w:rPr>
          <w:rFonts w:ascii="Tahoma" w:hAnsi="Tahoma" w:cs="Tahoma"/>
          <w:b/>
          <w:i/>
          <w:sz w:val="22"/>
          <w:szCs w:val="22"/>
        </w:rPr>
        <w:t>A LA ENTIDAD:</w:t>
      </w:r>
    </w:p>
    <w:p w:rsidR="00D026E4" w:rsidRPr="00D026E4" w:rsidRDefault="00D026E4" w:rsidP="00D026E4">
      <w:pPr>
        <w:jc w:val="both"/>
        <w:rPr>
          <w:rFonts w:ascii="Tahoma" w:hAnsi="Tahoma" w:cs="Tahoma"/>
          <w:b/>
          <w:i/>
          <w:sz w:val="22"/>
          <w:szCs w:val="22"/>
        </w:rPr>
      </w:pPr>
    </w:p>
    <w:p w:rsidR="00D026E4" w:rsidRPr="00D026E4" w:rsidRDefault="00D026E4" w:rsidP="00D026E4">
      <w:pPr>
        <w:numPr>
          <w:ilvl w:val="0"/>
          <w:numId w:val="9"/>
        </w:numPr>
        <w:ind w:left="1276"/>
        <w:jc w:val="both"/>
        <w:rPr>
          <w:rFonts w:ascii="Tahoma" w:hAnsi="Tahoma" w:cs="Tahoma"/>
          <w:i/>
          <w:sz w:val="22"/>
          <w:szCs w:val="22"/>
          <w:lang w:val="es-ES_tradnl"/>
        </w:rPr>
      </w:pPr>
      <w:r w:rsidRPr="00D026E4">
        <w:rPr>
          <w:rFonts w:ascii="Tahoma" w:hAnsi="Tahoma" w:cs="Tahoma"/>
          <w:i/>
          <w:sz w:val="22"/>
          <w:szCs w:val="22"/>
        </w:rPr>
        <w:t>Sírvase indicar si el mencionado Consorcio autorizó la remisión vía facsímil de la Carta de citación para la suscripción del contrato de fecha 16 de agosto de 2010, y de ser el caso, remitir el documento donde se aprecie dicha autorización.</w:t>
      </w:r>
    </w:p>
    <w:p w:rsidR="00D026E4" w:rsidRPr="00D026E4" w:rsidRDefault="00D026E4" w:rsidP="00D026E4">
      <w:pPr>
        <w:ind w:left="720"/>
        <w:jc w:val="both"/>
        <w:rPr>
          <w:rFonts w:ascii="Tahoma" w:hAnsi="Tahoma" w:cs="Tahoma"/>
          <w:i/>
          <w:sz w:val="22"/>
          <w:szCs w:val="22"/>
          <w:lang w:val="es-ES_tradnl"/>
        </w:rPr>
      </w:pPr>
    </w:p>
    <w:p w:rsidR="00D026E4" w:rsidRPr="00D026E4" w:rsidRDefault="00D026E4" w:rsidP="00D026E4">
      <w:pPr>
        <w:numPr>
          <w:ilvl w:val="0"/>
          <w:numId w:val="9"/>
        </w:numPr>
        <w:ind w:left="1276"/>
        <w:jc w:val="both"/>
        <w:rPr>
          <w:rFonts w:ascii="Tahoma" w:hAnsi="Tahoma" w:cs="Tahoma"/>
          <w:i/>
          <w:sz w:val="22"/>
          <w:szCs w:val="22"/>
          <w:lang w:val="es-ES_tradnl"/>
        </w:rPr>
      </w:pPr>
      <w:r w:rsidRPr="00D026E4">
        <w:rPr>
          <w:rFonts w:ascii="Tahoma" w:hAnsi="Tahoma" w:cs="Tahoma"/>
          <w:i/>
          <w:sz w:val="22"/>
          <w:szCs w:val="22"/>
          <w:lang w:val="es-ES_tradnl"/>
        </w:rPr>
        <w:t>Sírvase indicar la fecha en que la Carta de citación para la suscripción del contrato respectivo fue recibida por el Consorcio mencionado, ya que se aprecia por un lado que, su representada manifiesta que ello se produjo en dos oportunidades (vía fax), el 16 y el 18 de agosto de 2010; y de otro lado, en su escrito de descargos, el Consorcio señala que sólo recibieron la comunicación vía fax el 18 de agosto de 2010.</w:t>
      </w:r>
    </w:p>
    <w:p w:rsidR="00D026E4" w:rsidRPr="00D026E4" w:rsidRDefault="00D026E4" w:rsidP="00D026E4">
      <w:pPr>
        <w:jc w:val="both"/>
        <w:rPr>
          <w:rFonts w:ascii="Tahoma" w:hAnsi="Tahoma" w:cs="Tahoma"/>
          <w:i/>
          <w:sz w:val="22"/>
          <w:szCs w:val="22"/>
          <w:lang w:val="es-ES_tradnl"/>
        </w:rPr>
      </w:pPr>
    </w:p>
    <w:p w:rsidR="00D026E4" w:rsidRPr="00D026E4" w:rsidRDefault="00D026E4" w:rsidP="00D026E4">
      <w:pPr>
        <w:ind w:left="567"/>
        <w:jc w:val="both"/>
        <w:rPr>
          <w:rFonts w:ascii="Tahoma" w:hAnsi="Tahoma" w:cs="Tahoma"/>
          <w:i/>
          <w:sz w:val="22"/>
          <w:szCs w:val="22"/>
          <w:lang w:val="es-ES_tradnl"/>
        </w:rPr>
      </w:pPr>
      <w:r w:rsidRPr="00D026E4">
        <w:rPr>
          <w:rFonts w:ascii="Tahoma" w:hAnsi="Tahoma" w:cs="Tahoma"/>
          <w:i/>
          <w:sz w:val="22"/>
          <w:szCs w:val="22"/>
          <w:lang w:val="es-ES_tradnl"/>
        </w:rPr>
        <w:t>En ese sentido, sírvase remitir el cargo de recepción o copia del instrumento donde se aprecie la fecha de recepción de dicha carta, teniendo en cuenta que obra en el expediente dos reportes de remisión de fechas 16 y 18 de agosto de 2010, sin embargo, en ellos no se aprecian si efectivamente el Consorcio lo recibió, ni el nombre de la persona a quien fue dirigido.”</w:t>
      </w:r>
    </w:p>
    <w:p w:rsidR="00D026E4" w:rsidRPr="00D026E4" w:rsidRDefault="00D026E4" w:rsidP="00D026E4">
      <w:pPr>
        <w:jc w:val="both"/>
        <w:rPr>
          <w:rFonts w:ascii="Tahoma" w:hAnsi="Tahoma" w:cs="Tahoma"/>
          <w:sz w:val="22"/>
          <w:szCs w:val="22"/>
          <w:lang w:val="es-ES_tradnl"/>
        </w:rPr>
      </w:pPr>
    </w:p>
    <w:p w:rsidR="00D026E4" w:rsidRPr="00D026E4" w:rsidRDefault="00D026E4" w:rsidP="00D026E4">
      <w:pPr>
        <w:pStyle w:val="Prrafodelista"/>
        <w:widowControl/>
        <w:numPr>
          <w:ilvl w:val="0"/>
          <w:numId w:val="6"/>
        </w:numPr>
        <w:suppressAutoHyphens w:val="0"/>
        <w:ind w:left="567" w:hanging="567"/>
        <w:contextualSpacing/>
        <w:jc w:val="both"/>
        <w:rPr>
          <w:rFonts w:ascii="Tahoma" w:hAnsi="Tahoma" w:cs="Tahoma"/>
          <w:sz w:val="22"/>
          <w:szCs w:val="22"/>
        </w:rPr>
      </w:pPr>
      <w:r w:rsidRPr="00D026E4">
        <w:rPr>
          <w:rFonts w:ascii="Tahoma" w:hAnsi="Tahoma" w:cs="Tahoma"/>
          <w:sz w:val="22"/>
          <w:szCs w:val="22"/>
        </w:rPr>
        <w:t xml:space="preserve">El 13 de mayo la Entidad remitió el Oficio Nº 1015-2010-DRC-C/MC a este Tribunal indicando que la autorización del Postor a fin que se remita vía fax la carta de citación se encuentra en el Anexo Nº 1 que presentó como parte de su </w:t>
      </w:r>
      <w:r w:rsidRPr="00D026E4">
        <w:rPr>
          <w:rFonts w:ascii="Tahoma" w:hAnsi="Tahoma" w:cs="Tahoma"/>
          <w:sz w:val="22"/>
          <w:szCs w:val="22"/>
        </w:rPr>
        <w:lastRenderedPageBreak/>
        <w:t>Propuesta Técnica, copia que adjunta al Oficio Nº 1015-2010-DRC-C/MC, y que señala:</w:t>
      </w:r>
    </w:p>
    <w:p w:rsidR="00D026E4" w:rsidRPr="00D026E4" w:rsidRDefault="00DA3587" w:rsidP="00D026E4">
      <w:pPr>
        <w:contextualSpacing/>
        <w:jc w:val="both"/>
        <w:rPr>
          <w:rFonts w:ascii="Tahoma" w:hAnsi="Tahoma" w:cs="Tahoma"/>
          <w:sz w:val="22"/>
          <w:szCs w:val="22"/>
        </w:rPr>
      </w:pPr>
      <w:r>
        <w:rPr>
          <w:rFonts w:ascii="Tahoma" w:hAnsi="Tahoma" w:cs="Tahoma"/>
          <w:noProof/>
          <w:sz w:val="22"/>
          <w:szCs w:val="22"/>
          <w:lang w:eastAsia="en-US"/>
        </w:rPr>
        <w:pict>
          <v:shapetype id="_x0000_t202" coordsize="21600,21600" o:spt="202" path="m,l,21600r21600,l21600,xe">
            <v:stroke joinstyle="miter"/>
            <v:path gradientshapeok="t" o:connecttype="rect"/>
          </v:shapetype>
          <v:shape id="_x0000_s1026" type="#_x0000_t202" style="position:absolute;left:0;text-align:left;margin-left:33.35pt;margin-top:8.05pt;width:394.75pt;height:301.35pt;z-index:251658240;mso-width-relative:margin;mso-height-relative:margin">
            <v:textbox style="mso-next-textbox:#_x0000_s1026">
              <w:txbxContent>
                <w:p w:rsidR="00D026E4" w:rsidRPr="00DC1C81" w:rsidRDefault="00D026E4" w:rsidP="00D026E4">
                  <w:pPr>
                    <w:ind w:left="567"/>
                    <w:contextualSpacing/>
                    <w:jc w:val="center"/>
                    <w:rPr>
                      <w:rFonts w:ascii="Tahoma" w:hAnsi="Tahoma" w:cs="Tahoma"/>
                      <w:i/>
                      <w:sz w:val="20"/>
                      <w:szCs w:val="20"/>
                    </w:rPr>
                  </w:pPr>
                  <w:r w:rsidRPr="00DC1C81">
                    <w:rPr>
                      <w:rFonts w:ascii="Tahoma" w:hAnsi="Tahoma" w:cs="Tahoma"/>
                      <w:i/>
                      <w:sz w:val="20"/>
                      <w:szCs w:val="20"/>
                    </w:rPr>
                    <w:t>ANEXO Nº 01</w:t>
                  </w:r>
                </w:p>
                <w:p w:rsidR="00D026E4" w:rsidRPr="00DC1C81" w:rsidRDefault="00D026E4" w:rsidP="00D026E4">
                  <w:pPr>
                    <w:ind w:left="567"/>
                    <w:contextualSpacing/>
                    <w:jc w:val="center"/>
                    <w:rPr>
                      <w:rFonts w:ascii="Tahoma" w:hAnsi="Tahoma" w:cs="Tahoma"/>
                      <w:i/>
                      <w:sz w:val="20"/>
                      <w:szCs w:val="20"/>
                    </w:rPr>
                  </w:pPr>
                </w:p>
                <w:p w:rsidR="00D026E4" w:rsidRPr="00DC1C81" w:rsidRDefault="00D026E4" w:rsidP="00D026E4">
                  <w:pPr>
                    <w:ind w:left="567"/>
                    <w:contextualSpacing/>
                    <w:jc w:val="center"/>
                    <w:rPr>
                      <w:rFonts w:ascii="Tahoma" w:hAnsi="Tahoma" w:cs="Tahoma"/>
                      <w:i/>
                      <w:sz w:val="20"/>
                      <w:szCs w:val="20"/>
                    </w:rPr>
                  </w:pPr>
                  <w:r w:rsidRPr="00DC1C81">
                    <w:rPr>
                      <w:rFonts w:ascii="Tahoma" w:hAnsi="Tahoma" w:cs="Tahoma"/>
                      <w:i/>
                      <w:sz w:val="20"/>
                      <w:szCs w:val="20"/>
                    </w:rPr>
                    <w:t>DECLARACION JURADA DE DATOS DEL POSTOR</w:t>
                  </w:r>
                </w:p>
                <w:p w:rsidR="00D026E4" w:rsidRPr="00DC1C81" w:rsidRDefault="00D026E4" w:rsidP="00D026E4">
                  <w:pPr>
                    <w:ind w:left="567"/>
                    <w:contextualSpacing/>
                    <w:jc w:val="center"/>
                    <w:rPr>
                      <w:rFonts w:ascii="Tahoma" w:hAnsi="Tahoma" w:cs="Tahoma"/>
                      <w:i/>
                      <w:sz w:val="20"/>
                      <w:szCs w:val="20"/>
                    </w:rPr>
                  </w:pPr>
                </w:p>
                <w:p w:rsidR="00D026E4" w:rsidRPr="00DC1C81" w:rsidRDefault="00D026E4" w:rsidP="00D026E4">
                  <w:pPr>
                    <w:ind w:left="567"/>
                    <w:contextualSpacing/>
                    <w:jc w:val="both"/>
                    <w:rPr>
                      <w:rFonts w:ascii="Tahoma" w:hAnsi="Tahoma" w:cs="Tahoma"/>
                      <w:i/>
                      <w:sz w:val="20"/>
                      <w:szCs w:val="20"/>
                    </w:rPr>
                  </w:pPr>
                </w:p>
                <w:p w:rsidR="00D026E4" w:rsidRPr="00DC1C81" w:rsidRDefault="00D026E4" w:rsidP="00D026E4">
                  <w:pPr>
                    <w:ind w:left="567"/>
                    <w:contextualSpacing/>
                    <w:jc w:val="both"/>
                    <w:rPr>
                      <w:rFonts w:ascii="Tahoma" w:hAnsi="Tahoma" w:cs="Tahoma"/>
                      <w:i/>
                      <w:sz w:val="20"/>
                      <w:szCs w:val="20"/>
                    </w:rPr>
                  </w:pPr>
                  <w:r w:rsidRPr="00DC1C81">
                    <w:rPr>
                      <w:rFonts w:ascii="Tahoma" w:hAnsi="Tahoma" w:cs="Tahoma"/>
                      <w:i/>
                      <w:sz w:val="20"/>
                      <w:szCs w:val="20"/>
                    </w:rPr>
                    <w:t xml:space="preserve">Señores </w:t>
                  </w:r>
                </w:p>
                <w:p w:rsidR="00D026E4" w:rsidRPr="00C61833" w:rsidRDefault="00D026E4" w:rsidP="00D026E4">
                  <w:pPr>
                    <w:ind w:left="567"/>
                    <w:contextualSpacing/>
                    <w:jc w:val="both"/>
                    <w:rPr>
                      <w:rFonts w:ascii="Tahoma" w:hAnsi="Tahoma" w:cs="Tahoma"/>
                      <w:b/>
                      <w:i/>
                      <w:sz w:val="20"/>
                      <w:szCs w:val="20"/>
                    </w:rPr>
                  </w:pPr>
                  <w:r w:rsidRPr="00C61833">
                    <w:rPr>
                      <w:rFonts w:ascii="Tahoma" w:hAnsi="Tahoma" w:cs="Tahoma"/>
                      <w:b/>
                      <w:i/>
                      <w:sz w:val="20"/>
                      <w:szCs w:val="20"/>
                    </w:rPr>
                    <w:t>COMITÉ ESPECIAL</w:t>
                  </w:r>
                </w:p>
                <w:p w:rsidR="00D026E4" w:rsidRPr="00C61833" w:rsidRDefault="00D026E4" w:rsidP="00D026E4">
                  <w:pPr>
                    <w:ind w:left="567"/>
                    <w:contextualSpacing/>
                    <w:jc w:val="both"/>
                    <w:rPr>
                      <w:rFonts w:ascii="Tahoma" w:hAnsi="Tahoma" w:cs="Tahoma"/>
                      <w:b/>
                      <w:i/>
                      <w:sz w:val="20"/>
                      <w:szCs w:val="20"/>
                    </w:rPr>
                  </w:pPr>
                  <w:r w:rsidRPr="00C61833">
                    <w:rPr>
                      <w:rFonts w:ascii="Tahoma" w:hAnsi="Tahoma" w:cs="Tahoma"/>
                      <w:b/>
                      <w:i/>
                      <w:sz w:val="20"/>
                      <w:szCs w:val="20"/>
                    </w:rPr>
                    <w:t>LICITACION PÚBLICA Nº 8-2010 DRC-C-INC</w:t>
                  </w:r>
                </w:p>
                <w:p w:rsidR="00D026E4" w:rsidRPr="00DC1C81" w:rsidRDefault="00D026E4" w:rsidP="00D026E4">
                  <w:pPr>
                    <w:ind w:left="567"/>
                    <w:contextualSpacing/>
                    <w:jc w:val="both"/>
                    <w:rPr>
                      <w:rFonts w:ascii="Tahoma" w:hAnsi="Tahoma" w:cs="Tahoma"/>
                      <w:i/>
                      <w:sz w:val="20"/>
                      <w:szCs w:val="20"/>
                    </w:rPr>
                  </w:pPr>
                  <w:r w:rsidRPr="00DC1C81">
                    <w:rPr>
                      <w:rFonts w:ascii="Tahoma" w:hAnsi="Tahoma" w:cs="Tahoma"/>
                      <w:i/>
                      <w:sz w:val="20"/>
                      <w:szCs w:val="20"/>
                    </w:rPr>
                    <w:t>Presente.-</w:t>
                  </w:r>
                </w:p>
                <w:p w:rsidR="00D026E4" w:rsidRPr="00DC1C81" w:rsidRDefault="00D026E4" w:rsidP="00D026E4">
                  <w:pPr>
                    <w:ind w:left="567"/>
                    <w:contextualSpacing/>
                    <w:jc w:val="both"/>
                    <w:rPr>
                      <w:rFonts w:ascii="Tahoma" w:hAnsi="Tahoma" w:cs="Tahoma"/>
                      <w:i/>
                      <w:sz w:val="20"/>
                      <w:szCs w:val="20"/>
                    </w:rPr>
                  </w:pPr>
                </w:p>
                <w:p w:rsidR="00D026E4" w:rsidRPr="00DC1C81" w:rsidRDefault="00D026E4" w:rsidP="00D026E4">
                  <w:pPr>
                    <w:ind w:left="567"/>
                    <w:contextualSpacing/>
                    <w:jc w:val="both"/>
                    <w:rPr>
                      <w:rFonts w:ascii="Tahoma" w:hAnsi="Tahoma" w:cs="Tahoma"/>
                      <w:i/>
                      <w:sz w:val="20"/>
                      <w:szCs w:val="20"/>
                    </w:rPr>
                  </w:pPr>
                  <w:r w:rsidRPr="00DC1C81">
                    <w:rPr>
                      <w:rFonts w:ascii="Tahoma" w:hAnsi="Tahoma" w:cs="Tahoma"/>
                      <w:i/>
                      <w:sz w:val="20"/>
                      <w:szCs w:val="20"/>
                    </w:rPr>
                    <w:t>Estimados señores:</w:t>
                  </w:r>
                </w:p>
                <w:p w:rsidR="00D026E4" w:rsidRPr="00DC1C81" w:rsidRDefault="00D026E4" w:rsidP="00D026E4">
                  <w:pPr>
                    <w:ind w:left="567"/>
                    <w:contextualSpacing/>
                    <w:jc w:val="both"/>
                    <w:rPr>
                      <w:rFonts w:ascii="Tahoma" w:hAnsi="Tahoma" w:cs="Tahoma"/>
                      <w:i/>
                      <w:sz w:val="20"/>
                      <w:szCs w:val="20"/>
                    </w:rPr>
                  </w:pPr>
                </w:p>
                <w:p w:rsidR="00D026E4" w:rsidRPr="00D16BED" w:rsidRDefault="00D026E4" w:rsidP="00D026E4">
                  <w:pPr>
                    <w:ind w:left="567"/>
                    <w:contextualSpacing/>
                    <w:jc w:val="both"/>
                    <w:rPr>
                      <w:rFonts w:ascii="Tahoma" w:hAnsi="Tahoma" w:cs="Tahoma"/>
                      <w:i/>
                      <w:sz w:val="20"/>
                      <w:szCs w:val="20"/>
                    </w:rPr>
                  </w:pPr>
                  <w:r w:rsidRPr="00D16BED">
                    <w:rPr>
                      <w:rFonts w:ascii="Tahoma" w:hAnsi="Tahoma" w:cs="Tahoma"/>
                      <w:i/>
                      <w:sz w:val="20"/>
                      <w:szCs w:val="20"/>
                    </w:rPr>
                    <w:t>El que suscribe Bertha Lucy Ancajima Fernández, identificada con DNI Nº 06212137, RUC Nº 20512811524, con poder inscrito en la localidad de Lima en la Ficha Nº 11698862, Asiento Nº C00002, declaro bajo juramento que la siguiente información de mi representada se sujeta a la verdad:</w:t>
                  </w:r>
                </w:p>
                <w:p w:rsidR="00D026E4" w:rsidRPr="00D16BED" w:rsidRDefault="00D026E4" w:rsidP="00D026E4">
                  <w:pPr>
                    <w:ind w:left="567"/>
                    <w:contextualSpacing/>
                    <w:jc w:val="both"/>
                    <w:rPr>
                      <w:rFonts w:ascii="Tahoma" w:hAnsi="Tahoma" w:cs="Tahoma"/>
                      <w:i/>
                      <w:sz w:val="20"/>
                      <w:szCs w:val="20"/>
                    </w:rPr>
                  </w:pPr>
                </w:p>
                <w:p w:rsidR="00D026E4" w:rsidRPr="00D16BED" w:rsidRDefault="00D026E4" w:rsidP="00D026E4">
                  <w:pPr>
                    <w:ind w:left="567"/>
                    <w:contextualSpacing/>
                    <w:jc w:val="both"/>
                    <w:rPr>
                      <w:rFonts w:ascii="Tahoma" w:hAnsi="Tahoma" w:cs="Tahoma"/>
                      <w:i/>
                      <w:sz w:val="20"/>
                      <w:szCs w:val="20"/>
                    </w:rPr>
                  </w:pPr>
                </w:p>
                <w:tbl>
                  <w:tblPr>
                    <w:tblStyle w:val="Tablaconcuadrcula"/>
                    <w:tblW w:w="0" w:type="auto"/>
                    <w:tblInd w:w="675" w:type="dxa"/>
                    <w:tblLook w:val="04A0"/>
                  </w:tblPr>
                  <w:tblGrid>
                    <w:gridCol w:w="592"/>
                    <w:gridCol w:w="2766"/>
                    <w:gridCol w:w="1100"/>
                    <w:gridCol w:w="981"/>
                    <w:gridCol w:w="712"/>
                    <w:gridCol w:w="981"/>
                  </w:tblGrid>
                  <w:tr w:rsidR="00D026E4" w:rsidRPr="00D16BED" w:rsidTr="00F45C55">
                    <w:tc>
                      <w:tcPr>
                        <w:tcW w:w="3979" w:type="dxa"/>
                        <w:gridSpan w:val="2"/>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Nombre o Razón Social</w:t>
                        </w:r>
                      </w:p>
                    </w:tc>
                    <w:tc>
                      <w:tcPr>
                        <w:tcW w:w="3818" w:type="dxa"/>
                        <w:gridSpan w:val="4"/>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Confecciones y Creaciones Modernas</w:t>
                        </w:r>
                      </w:p>
                    </w:tc>
                  </w:tr>
                  <w:tr w:rsidR="00D026E4" w:rsidRPr="00D16BED" w:rsidTr="00F45C55">
                    <w:tc>
                      <w:tcPr>
                        <w:tcW w:w="3979" w:type="dxa"/>
                        <w:gridSpan w:val="2"/>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Domicilio Legal</w:t>
                        </w:r>
                      </w:p>
                    </w:tc>
                    <w:tc>
                      <w:tcPr>
                        <w:tcW w:w="3818" w:type="dxa"/>
                        <w:gridSpan w:val="4"/>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Calle Enrique Camino Brent Nº 120 Miraflores-Lima</w:t>
                        </w:r>
                      </w:p>
                    </w:tc>
                  </w:tr>
                  <w:tr w:rsidR="00D026E4" w:rsidRPr="00D16BED" w:rsidTr="00F45C55">
                    <w:tc>
                      <w:tcPr>
                        <w:tcW w:w="592" w:type="dxa"/>
                        <w:tcBorders>
                          <w:right w:val="single" w:sz="4" w:space="0" w:color="auto"/>
                        </w:tcBorders>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RUC</w:t>
                        </w:r>
                      </w:p>
                    </w:tc>
                    <w:tc>
                      <w:tcPr>
                        <w:tcW w:w="3387" w:type="dxa"/>
                        <w:tcBorders>
                          <w:left w:val="single" w:sz="4" w:space="0" w:color="auto"/>
                        </w:tcBorders>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20512811524</w:t>
                        </w:r>
                      </w:p>
                    </w:tc>
                    <w:tc>
                      <w:tcPr>
                        <w:tcW w:w="1154" w:type="dxa"/>
                        <w:tcBorders>
                          <w:right w:val="single" w:sz="4" w:space="0" w:color="auto"/>
                        </w:tcBorders>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Teléfono</w:t>
                        </w:r>
                      </w:p>
                    </w:tc>
                    <w:tc>
                      <w:tcPr>
                        <w:tcW w:w="981" w:type="dxa"/>
                        <w:tcBorders>
                          <w:left w:val="single" w:sz="4" w:space="0" w:color="auto"/>
                          <w:right w:val="single" w:sz="4" w:space="0" w:color="auto"/>
                        </w:tcBorders>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2428465</w:t>
                        </w:r>
                      </w:p>
                    </w:tc>
                    <w:tc>
                      <w:tcPr>
                        <w:tcW w:w="798" w:type="dxa"/>
                        <w:tcBorders>
                          <w:left w:val="single" w:sz="4" w:space="0" w:color="auto"/>
                          <w:right w:val="single" w:sz="4" w:space="0" w:color="auto"/>
                        </w:tcBorders>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Fax</w:t>
                        </w:r>
                      </w:p>
                    </w:tc>
                    <w:tc>
                      <w:tcPr>
                        <w:tcW w:w="885" w:type="dxa"/>
                        <w:tcBorders>
                          <w:left w:val="single" w:sz="4" w:space="0" w:color="auto"/>
                        </w:tcBorders>
                      </w:tcPr>
                      <w:p w:rsidR="00D026E4" w:rsidRPr="00D16BED" w:rsidRDefault="00D026E4" w:rsidP="00F45C55">
                        <w:pPr>
                          <w:contextualSpacing/>
                          <w:jc w:val="both"/>
                          <w:rPr>
                            <w:rFonts w:ascii="Tahoma" w:hAnsi="Tahoma" w:cs="Tahoma"/>
                            <w:i/>
                            <w:sz w:val="20"/>
                            <w:szCs w:val="20"/>
                          </w:rPr>
                        </w:pPr>
                        <w:r w:rsidRPr="00D16BED">
                          <w:rPr>
                            <w:rFonts w:ascii="Tahoma" w:hAnsi="Tahoma" w:cs="Tahoma"/>
                            <w:i/>
                            <w:sz w:val="20"/>
                            <w:szCs w:val="20"/>
                          </w:rPr>
                          <w:t>4463072</w:t>
                        </w:r>
                      </w:p>
                    </w:tc>
                  </w:tr>
                </w:tbl>
                <w:p w:rsidR="00D026E4" w:rsidRPr="00D16BED" w:rsidRDefault="00D026E4" w:rsidP="00D026E4">
                  <w:pPr>
                    <w:rPr>
                      <w:rFonts w:ascii="Tahoma" w:hAnsi="Tahoma" w:cs="Tahoma"/>
                      <w:i/>
                      <w:sz w:val="20"/>
                      <w:szCs w:val="20"/>
                    </w:rPr>
                  </w:pPr>
                  <w:r w:rsidRPr="00D16BED">
                    <w:rPr>
                      <w:rFonts w:ascii="Tahoma" w:hAnsi="Tahoma" w:cs="Tahoma"/>
                      <w:i/>
                      <w:sz w:val="20"/>
                      <w:szCs w:val="20"/>
                    </w:rPr>
                    <w:tab/>
                  </w:r>
                </w:p>
                <w:p w:rsidR="00D026E4" w:rsidRPr="00D16BED" w:rsidRDefault="00D026E4" w:rsidP="00D026E4">
                  <w:pPr>
                    <w:ind w:left="567"/>
                    <w:rPr>
                      <w:rFonts w:ascii="Tahoma" w:hAnsi="Tahoma" w:cs="Tahoma"/>
                      <w:i/>
                      <w:sz w:val="20"/>
                      <w:szCs w:val="20"/>
                    </w:rPr>
                  </w:pPr>
                  <w:r w:rsidRPr="00D16BED">
                    <w:rPr>
                      <w:rFonts w:ascii="Tahoma" w:hAnsi="Tahoma" w:cs="Tahoma"/>
                      <w:i/>
                      <w:sz w:val="20"/>
                      <w:szCs w:val="20"/>
                    </w:rPr>
                    <w:t>Cusco, 23 de julio de 2010</w:t>
                  </w:r>
                </w:p>
              </w:txbxContent>
            </v:textbox>
          </v:shape>
        </w:pict>
      </w: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ind w:left="567"/>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rPr>
      </w:pPr>
    </w:p>
    <w:p w:rsidR="00D026E4" w:rsidRPr="00D026E4" w:rsidRDefault="00D026E4" w:rsidP="00D026E4">
      <w:pPr>
        <w:contextualSpacing/>
        <w:jc w:val="both"/>
        <w:rPr>
          <w:rFonts w:ascii="Tahoma" w:hAnsi="Tahoma" w:cs="Tahoma"/>
          <w:sz w:val="22"/>
          <w:szCs w:val="22"/>
          <w:lang w:val="es-ES_tradnl"/>
        </w:rPr>
      </w:pPr>
    </w:p>
    <w:p w:rsidR="00D026E4" w:rsidRPr="00D026E4" w:rsidRDefault="00D026E4" w:rsidP="00E56F00">
      <w:pPr>
        <w:pStyle w:val="Prrafodelista"/>
        <w:ind w:left="567"/>
        <w:jc w:val="both"/>
        <w:rPr>
          <w:rFonts w:ascii="Tahoma" w:hAnsi="Tahoma" w:cs="Tahoma"/>
          <w:b/>
          <w:shadow/>
          <w:sz w:val="22"/>
          <w:szCs w:val="22"/>
        </w:rPr>
      </w:pPr>
      <w:r w:rsidRPr="00D026E4">
        <w:rPr>
          <w:rFonts w:ascii="Tahoma" w:hAnsi="Tahoma" w:cs="Tahoma"/>
          <w:b/>
          <w:sz w:val="22"/>
          <w:szCs w:val="22"/>
        </w:rPr>
        <w:t>FUNDAMENTACIÓN:</w:t>
      </w:r>
    </w:p>
    <w:p w:rsidR="00D026E4" w:rsidRPr="00D026E4" w:rsidRDefault="00D026E4" w:rsidP="00D026E4">
      <w:pPr>
        <w:pStyle w:val="Prrafodelista"/>
        <w:ind w:left="567"/>
        <w:jc w:val="both"/>
        <w:rPr>
          <w:rFonts w:ascii="Tahoma" w:hAnsi="Tahoma" w:cs="Tahoma"/>
          <w:b/>
          <w:shadow/>
          <w:sz w:val="22"/>
          <w:szCs w:val="22"/>
        </w:rPr>
      </w:pPr>
    </w:p>
    <w:p w:rsidR="00D026E4" w:rsidRPr="00F45C55"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sidRPr="00F45C55">
        <w:rPr>
          <w:rFonts w:ascii="Tahoma" w:hAnsi="Tahoma" w:cs="Tahoma"/>
          <w:color w:val="000000" w:themeColor="text1"/>
          <w:sz w:val="20"/>
          <w:szCs w:val="20"/>
        </w:rPr>
        <w:t xml:space="preserve">Es materia del presente procedimiento administrativo la supuesta responsabilidad del Postor, al no haber suscrito injustificadamente el contrato correspondiente al proceso de </w:t>
      </w:r>
      <w:r w:rsidRPr="00F45C55">
        <w:rPr>
          <w:rFonts w:ascii="Tahoma" w:hAnsi="Tahoma" w:cs="Tahoma"/>
          <w:sz w:val="20"/>
          <w:szCs w:val="20"/>
        </w:rPr>
        <w:t>Licitación Pública Nº 008-2010 convocado por la Entidad para la “Adquisición de vestuario para el personal de la Entidad”</w:t>
      </w:r>
      <w:r w:rsidRPr="00F45C55">
        <w:rPr>
          <w:rFonts w:ascii="Tahoma" w:hAnsi="Tahoma" w:cs="Tahoma"/>
          <w:color w:val="000000" w:themeColor="text1"/>
          <w:sz w:val="20"/>
          <w:szCs w:val="20"/>
        </w:rPr>
        <w:t xml:space="preserve">, </w:t>
      </w:r>
      <w:r w:rsidRPr="00F45C55">
        <w:rPr>
          <w:rFonts w:ascii="Tahoma" w:hAnsi="Tahoma" w:cs="Tahoma"/>
          <w:sz w:val="20"/>
          <w:szCs w:val="20"/>
        </w:rPr>
        <w:t>infracción tipificada en el literal a) del artículo 51 de la Ley de Contrataciones del Estado, aprobado por Decreto Legislativo 1017, en adelante la Ley, en concordancia con el literal a) del artículo 237 del Reglamento de la Ley de Contrataciones del Estado, aprobado por Decreto Supremo № 184-2008-EF, en adelante el Reglamento, normas vigentes al momento de suscitarse los hechos imputados.</w:t>
      </w:r>
      <w:r w:rsidRPr="00F45C55">
        <w:rPr>
          <w:rFonts w:ascii="Tahoma" w:hAnsi="Tahoma" w:cs="Tahoma"/>
          <w:color w:val="000000" w:themeColor="text1"/>
          <w:sz w:val="20"/>
          <w:szCs w:val="20"/>
        </w:rPr>
        <w:t xml:space="preserve"> </w:t>
      </w:r>
    </w:p>
    <w:p w:rsidR="00D026E4" w:rsidRPr="00F45C55" w:rsidRDefault="00D026E4" w:rsidP="00D026E4">
      <w:pPr>
        <w:widowControl w:val="0"/>
        <w:suppressAutoHyphens/>
        <w:ind w:left="567"/>
        <w:contextualSpacing/>
        <w:jc w:val="both"/>
        <w:rPr>
          <w:rFonts w:ascii="Tahoma" w:hAnsi="Tahoma" w:cs="Tahoma"/>
          <w:sz w:val="20"/>
          <w:szCs w:val="20"/>
        </w:rPr>
      </w:pPr>
    </w:p>
    <w:p w:rsidR="00D026E4" w:rsidRPr="00F45C55"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sidRPr="00F45C55">
        <w:rPr>
          <w:rFonts w:ascii="Tahoma" w:hAnsi="Tahoma" w:cs="Tahoma"/>
          <w:sz w:val="20"/>
          <w:szCs w:val="20"/>
          <w:lang w:eastAsia="en-US"/>
        </w:rPr>
        <w:t>En principio, cabe precisar que con el otorgamiento de la buena pro se genera el derecho del ganador del proceso de celebrar el contrato con la Entidad.</w:t>
      </w:r>
      <w:r w:rsidRPr="00F45C55">
        <w:rPr>
          <w:rFonts w:ascii="Tahoma" w:hAnsi="Tahoma" w:cs="Tahoma"/>
          <w:color w:val="000000" w:themeColor="text1"/>
          <w:sz w:val="20"/>
          <w:szCs w:val="20"/>
        </w:rPr>
        <w:t xml:space="preserve"> </w:t>
      </w:r>
      <w:r w:rsidRPr="00F45C55">
        <w:rPr>
          <w:rFonts w:ascii="Tahoma" w:hAnsi="Tahoma" w:cs="Tahoma"/>
          <w:sz w:val="20"/>
          <w:szCs w:val="20"/>
          <w:lang w:val="es-ES_tradnl" w:eastAsia="en-US"/>
        </w:rPr>
        <w:t>Sin embargo, la suscripción del contrato, además de un derecho, constituye una obligación del postor.</w:t>
      </w:r>
    </w:p>
    <w:p w:rsidR="00D026E4" w:rsidRPr="00F45C55" w:rsidRDefault="00D026E4" w:rsidP="00D026E4">
      <w:pPr>
        <w:widowControl w:val="0"/>
        <w:tabs>
          <w:tab w:val="num" w:pos="0"/>
        </w:tabs>
        <w:suppressAutoHyphens/>
        <w:contextualSpacing/>
        <w:jc w:val="both"/>
        <w:rPr>
          <w:rFonts w:ascii="Tahoma" w:hAnsi="Tahoma" w:cs="Tahoma"/>
          <w:sz w:val="20"/>
          <w:szCs w:val="20"/>
        </w:rPr>
      </w:pPr>
    </w:p>
    <w:p w:rsidR="00D026E4" w:rsidRPr="00F45C55"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sidRPr="00F45C55">
        <w:rPr>
          <w:rFonts w:ascii="Tahoma" w:hAnsi="Tahoma" w:cs="Tahoma"/>
          <w:sz w:val="20"/>
          <w:szCs w:val="20"/>
          <w:lang w:val="es-ES_tradnl" w:eastAsia="en-US"/>
        </w:rPr>
        <w:t xml:space="preserve">En ese sentido, de conformidad con lo establecido en el artículo 137 del Reglamento, una vez que el otorgamiento de la buena pro ha quedado consentido o administrativamente firme, tanto la Entidad como el o los postores ganadores </w:t>
      </w:r>
      <w:r w:rsidRPr="00F45C55">
        <w:rPr>
          <w:rFonts w:ascii="Tahoma" w:hAnsi="Tahoma" w:cs="Tahoma"/>
          <w:b/>
          <w:bCs/>
          <w:sz w:val="20"/>
          <w:szCs w:val="20"/>
          <w:u w:val="single"/>
          <w:lang w:val="es-ES_tradnl" w:eastAsia="en-US"/>
        </w:rPr>
        <w:t>están obligados a suscribir el o los contratos respectivos</w:t>
      </w:r>
      <w:r w:rsidRPr="00F45C55">
        <w:rPr>
          <w:rFonts w:ascii="Tahoma" w:hAnsi="Tahoma" w:cs="Tahoma"/>
          <w:sz w:val="20"/>
          <w:szCs w:val="20"/>
          <w:lang w:val="es-ES_tradnl" w:eastAsia="en-US"/>
        </w:rPr>
        <w:t xml:space="preserve">. </w:t>
      </w:r>
    </w:p>
    <w:p w:rsidR="00D026E4" w:rsidRPr="00F45C55" w:rsidRDefault="00D026E4" w:rsidP="00D026E4">
      <w:pPr>
        <w:widowControl w:val="0"/>
        <w:tabs>
          <w:tab w:val="num" w:pos="0"/>
        </w:tabs>
        <w:suppressAutoHyphens/>
        <w:contextualSpacing/>
        <w:jc w:val="both"/>
        <w:rPr>
          <w:rFonts w:ascii="Tahoma" w:hAnsi="Tahoma" w:cs="Tahoma"/>
          <w:sz w:val="20"/>
          <w:szCs w:val="20"/>
        </w:rPr>
      </w:pPr>
    </w:p>
    <w:p w:rsidR="00D026E4" w:rsidRPr="00F45C55"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sidRPr="00F45C55">
        <w:rPr>
          <w:rFonts w:ascii="Tahoma" w:hAnsi="Tahoma" w:cs="Tahoma"/>
          <w:sz w:val="20"/>
          <w:szCs w:val="20"/>
          <w:lang w:eastAsia="en-US"/>
        </w:rPr>
        <w:lastRenderedPageBreak/>
        <w:t>Como parte de dicha obligación, compete a la Entidad y al postor adjudicatario observar el procedimiento establecido en el artículo 148 del Reglamento para la suscripción del contrato, por lo tanto ca</w:t>
      </w:r>
      <w:r w:rsidRPr="00F45C55">
        <w:rPr>
          <w:rFonts w:ascii="Tahoma" w:hAnsi="Tahoma" w:cs="Tahoma"/>
          <w:color w:val="000000" w:themeColor="text1"/>
          <w:sz w:val="20"/>
          <w:szCs w:val="20"/>
        </w:rPr>
        <w:t>be advertir qu</w:t>
      </w:r>
      <w:r w:rsidRPr="00F45C55">
        <w:rPr>
          <w:rFonts w:ascii="Tahoma" w:hAnsi="Tahoma" w:cs="Tahoma"/>
          <w:sz w:val="20"/>
          <w:szCs w:val="20"/>
        </w:rPr>
        <w:t>e como primer punto de análisis, corresponde examinar si la Entidad ha cumplido con el procedimiento de citación del contrato, previsto en el artículo 148º del Reglamento. De la lectura dicha disposición, se concluye que resulta imperativo que la Entidad siga el procedimiento descrito y cumpla con las formalidades previstas en la normativa, ello con la finalidad que la citación a la firma del contrato sea válida.</w:t>
      </w:r>
    </w:p>
    <w:p w:rsidR="00D026E4" w:rsidRPr="00F45C55" w:rsidRDefault="00D026E4" w:rsidP="00D026E4">
      <w:pPr>
        <w:widowControl w:val="0"/>
        <w:tabs>
          <w:tab w:val="num" w:pos="0"/>
        </w:tabs>
        <w:suppressAutoHyphens/>
        <w:contextualSpacing/>
        <w:jc w:val="both"/>
        <w:rPr>
          <w:rFonts w:ascii="Tahoma" w:hAnsi="Tahoma" w:cs="Tahoma"/>
          <w:sz w:val="20"/>
          <w:szCs w:val="20"/>
        </w:rPr>
      </w:pPr>
    </w:p>
    <w:p w:rsidR="00D026E4" w:rsidRPr="002D2C0A"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sidRPr="00F45C55">
        <w:rPr>
          <w:rFonts w:ascii="Tahoma" w:hAnsi="Tahoma" w:cs="Tahoma"/>
          <w:sz w:val="20"/>
          <w:szCs w:val="20"/>
          <w:lang w:val="es-PE"/>
        </w:rPr>
        <w:t>De la revisión de la copia del Acta de otorgamiento de la buena pro, que obra en el folio 024  y 031 del expediente se advierte que este se llevó a cabo el 02 de agosto de 2010. Por lo tanto el consentimiento de la buena pro se dio el 12 de agosto. En ese sentido, la Entidad tuvo hasta el 16 de agosto para citar al postor adjudicatario para citarlo a la suscripción del contrato. Sin embargo, de la lectura del expediente se advierte que la carta de citación fue remitida al Postor vía facsímil el 16 y el 18 de agosto (folio 007 y 008 respectivamente).</w:t>
      </w:r>
    </w:p>
    <w:p w:rsidR="00D026E4" w:rsidRDefault="00D026E4" w:rsidP="00D026E4">
      <w:pPr>
        <w:pStyle w:val="Prrafodelista"/>
        <w:rPr>
          <w:rFonts w:ascii="Tahoma" w:hAnsi="Tahoma" w:cs="Tahoma"/>
          <w:sz w:val="20"/>
        </w:rPr>
      </w:pPr>
    </w:p>
    <w:p w:rsidR="00D026E4" w:rsidRPr="00F45C55"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Pr>
          <w:rFonts w:ascii="Tahoma" w:hAnsi="Tahoma" w:cs="Tahoma"/>
          <w:sz w:val="20"/>
          <w:szCs w:val="20"/>
        </w:rPr>
        <w:t xml:space="preserve">En ese sentido, este Tribunal solicitó información a la Entidad a fin de conocer cuál fue la fecha de notificación de dicha citación, sin embargo, la Entidad en su Oficio Nº </w:t>
      </w:r>
      <w:r w:rsidRPr="00F45C55">
        <w:rPr>
          <w:rFonts w:ascii="Tahoma" w:hAnsi="Tahoma" w:cs="Tahoma"/>
          <w:sz w:val="20"/>
          <w:szCs w:val="20"/>
        </w:rPr>
        <w:t>1015-2010-DRC-C/MC el 13 de mayo de 2011</w:t>
      </w:r>
      <w:r>
        <w:rPr>
          <w:rFonts w:ascii="Tahoma" w:hAnsi="Tahoma" w:cs="Tahoma"/>
          <w:sz w:val="20"/>
          <w:szCs w:val="20"/>
        </w:rPr>
        <w:t xml:space="preserve"> no informa si la carta de notificación para dicha citación fue remitida el 16 o el 18 de agosto, ambos vía facsímil. Sobre el particular, cabe señalar que el Postor en su escrito de descargos señala que sólo recibió la citación el día 18 de agosto.</w:t>
      </w:r>
    </w:p>
    <w:p w:rsidR="00D026E4" w:rsidRPr="00F45C55" w:rsidRDefault="00D026E4" w:rsidP="00D026E4">
      <w:pPr>
        <w:widowControl w:val="0"/>
        <w:tabs>
          <w:tab w:val="num" w:pos="0"/>
        </w:tabs>
        <w:suppressAutoHyphens/>
        <w:contextualSpacing/>
        <w:jc w:val="both"/>
        <w:rPr>
          <w:rFonts w:ascii="Tahoma" w:hAnsi="Tahoma" w:cs="Tahoma"/>
          <w:sz w:val="20"/>
          <w:szCs w:val="20"/>
        </w:rPr>
      </w:pPr>
    </w:p>
    <w:p w:rsidR="00D026E4" w:rsidRPr="00F45C55" w:rsidRDefault="00D026E4" w:rsidP="00D026E4">
      <w:pPr>
        <w:widowControl w:val="0"/>
        <w:numPr>
          <w:ilvl w:val="0"/>
          <w:numId w:val="10"/>
        </w:numPr>
        <w:tabs>
          <w:tab w:val="clear" w:pos="360"/>
          <w:tab w:val="num" w:pos="0"/>
        </w:tabs>
        <w:suppressAutoHyphens/>
        <w:ind w:left="567" w:hanging="567"/>
        <w:contextualSpacing/>
        <w:jc w:val="both"/>
        <w:rPr>
          <w:rFonts w:ascii="Tahoma" w:hAnsi="Tahoma" w:cs="Tahoma"/>
          <w:sz w:val="20"/>
          <w:szCs w:val="20"/>
        </w:rPr>
      </w:pPr>
      <w:r>
        <w:rPr>
          <w:rFonts w:ascii="Tahoma" w:hAnsi="Tahoma" w:cs="Tahoma"/>
          <w:sz w:val="20"/>
          <w:szCs w:val="20"/>
          <w:lang w:val="es-PE"/>
        </w:rPr>
        <w:t>En ese sentido</w:t>
      </w:r>
      <w:r w:rsidRPr="00F45C55">
        <w:rPr>
          <w:rFonts w:ascii="Tahoma" w:hAnsi="Tahoma" w:cs="Tahoma"/>
          <w:sz w:val="20"/>
          <w:szCs w:val="20"/>
          <w:lang w:val="es-PE"/>
        </w:rPr>
        <w:t xml:space="preserve">, </w:t>
      </w:r>
      <w:r>
        <w:rPr>
          <w:rFonts w:ascii="Tahoma" w:hAnsi="Tahoma" w:cs="Tahoma"/>
          <w:sz w:val="20"/>
          <w:szCs w:val="20"/>
          <w:lang w:val="es-PE"/>
        </w:rPr>
        <w:t xml:space="preserve">y sin perjuicio de que la información proporcionada por la Entidad resultaba indispensable a fin de conocer si se cumplió con el procedimiento previsto en la normativa </w:t>
      </w:r>
      <w:r w:rsidRPr="00F45C55">
        <w:rPr>
          <w:rFonts w:ascii="Tahoma" w:hAnsi="Tahoma" w:cs="Tahoma"/>
          <w:sz w:val="20"/>
          <w:szCs w:val="20"/>
        </w:rPr>
        <w:t xml:space="preserve">corresponde a este Colegiado evaluar </w:t>
      </w:r>
      <w:r>
        <w:rPr>
          <w:rFonts w:ascii="Tahoma" w:hAnsi="Tahoma" w:cs="Tahoma"/>
          <w:sz w:val="20"/>
          <w:szCs w:val="20"/>
        </w:rPr>
        <w:t>si la</w:t>
      </w:r>
      <w:r w:rsidRPr="00F45C55">
        <w:rPr>
          <w:rFonts w:ascii="Tahoma" w:hAnsi="Tahoma" w:cs="Tahoma"/>
          <w:sz w:val="20"/>
          <w:szCs w:val="20"/>
        </w:rPr>
        <w:t xml:space="preserve"> modalidad de notificación </w:t>
      </w:r>
      <w:r>
        <w:rPr>
          <w:rFonts w:ascii="Tahoma" w:hAnsi="Tahoma" w:cs="Tahoma"/>
          <w:sz w:val="20"/>
          <w:szCs w:val="20"/>
        </w:rPr>
        <w:t xml:space="preserve">vía facsímil </w:t>
      </w:r>
      <w:r w:rsidRPr="00F45C55">
        <w:rPr>
          <w:rFonts w:ascii="Tahoma" w:hAnsi="Tahoma" w:cs="Tahoma"/>
          <w:sz w:val="20"/>
          <w:szCs w:val="20"/>
        </w:rPr>
        <w:t xml:space="preserve">es el previsto en la normativa a efecto de cumplir con el procedimiento previsto. </w:t>
      </w:r>
      <w:r>
        <w:rPr>
          <w:rFonts w:ascii="Tahoma" w:hAnsi="Tahoma" w:cs="Tahoma"/>
          <w:sz w:val="20"/>
          <w:szCs w:val="20"/>
        </w:rPr>
        <w:t>Teniendo en cuenta ello</w:t>
      </w:r>
      <w:r w:rsidRPr="00F45C55">
        <w:rPr>
          <w:rFonts w:ascii="Tahoma" w:hAnsi="Tahoma" w:cs="Tahoma"/>
          <w:sz w:val="20"/>
          <w:szCs w:val="20"/>
        </w:rPr>
        <w:t>, cabe precisar que en vista que ni la Ley ni su Reglamento han contemplado un régimen aplicable para la notificación de las comunicaciones que realiza la Entidad a efectos de citar al Postor para la suscripción del Contrato, corresponde aplicar de manera supletoria al presente caso lo dispuesto en el artículo 20 de la Ley Nº 27444, que señala:</w:t>
      </w:r>
    </w:p>
    <w:p w:rsidR="00D026E4" w:rsidRPr="00F45C55" w:rsidRDefault="00D026E4" w:rsidP="00D026E4">
      <w:pPr>
        <w:pStyle w:val="Prrafodelista"/>
        <w:rPr>
          <w:rFonts w:ascii="Tahoma" w:hAnsi="Tahoma" w:cs="Tahoma"/>
          <w:sz w:val="20"/>
        </w:rPr>
      </w:pPr>
    </w:p>
    <w:p w:rsidR="00D026E4" w:rsidRPr="00F45C55" w:rsidRDefault="00D026E4" w:rsidP="00D026E4">
      <w:pPr>
        <w:ind w:left="567"/>
        <w:jc w:val="both"/>
        <w:rPr>
          <w:rFonts w:ascii="Arial Narrow" w:hAnsi="Arial Narrow" w:cs="Tahoma"/>
          <w:i/>
          <w:sz w:val="20"/>
          <w:szCs w:val="20"/>
        </w:rPr>
      </w:pPr>
      <w:r w:rsidRPr="00F45C55">
        <w:rPr>
          <w:rFonts w:ascii="Arial Narrow" w:hAnsi="Arial Narrow" w:cs="Tahoma"/>
          <w:i/>
          <w:sz w:val="20"/>
          <w:szCs w:val="20"/>
        </w:rPr>
        <w:t>“20.1 Las notificaciones serán efectuadas a través de las siguientes modalidades, según este respectivo orden de prelación:</w:t>
      </w:r>
    </w:p>
    <w:p w:rsidR="00D026E4" w:rsidRPr="00F45C55" w:rsidRDefault="00D026E4" w:rsidP="00D026E4">
      <w:pPr>
        <w:pStyle w:val="Prrafodelista"/>
        <w:rPr>
          <w:rFonts w:ascii="Arial Narrow" w:hAnsi="Arial Narrow" w:cs="Tahoma"/>
          <w:i/>
          <w:sz w:val="20"/>
        </w:rPr>
      </w:pPr>
    </w:p>
    <w:p w:rsidR="00D026E4" w:rsidRPr="00F45C55" w:rsidRDefault="00D026E4" w:rsidP="00D026E4">
      <w:pPr>
        <w:ind w:left="567"/>
        <w:jc w:val="both"/>
        <w:rPr>
          <w:rFonts w:ascii="Arial Narrow" w:hAnsi="Arial Narrow" w:cs="Tahoma"/>
          <w:i/>
          <w:sz w:val="20"/>
          <w:szCs w:val="20"/>
        </w:rPr>
      </w:pPr>
      <w:r w:rsidRPr="00F45C55">
        <w:rPr>
          <w:rFonts w:ascii="Arial Narrow" w:hAnsi="Arial Narrow" w:cs="Tahoma"/>
          <w:i/>
          <w:sz w:val="20"/>
          <w:szCs w:val="20"/>
        </w:rPr>
        <w:t>20.1.1 Notificación personal al administrado interesado o afectado por el acto, en su domicilio.</w:t>
      </w:r>
    </w:p>
    <w:p w:rsidR="00D026E4" w:rsidRPr="00F45C55" w:rsidRDefault="00D026E4" w:rsidP="00D026E4">
      <w:pPr>
        <w:ind w:left="567"/>
        <w:jc w:val="both"/>
        <w:rPr>
          <w:rFonts w:ascii="Arial Narrow" w:hAnsi="Arial Narrow" w:cs="Tahoma"/>
          <w:i/>
          <w:sz w:val="20"/>
          <w:szCs w:val="20"/>
        </w:rPr>
      </w:pPr>
      <w:r w:rsidRPr="00F45C55">
        <w:rPr>
          <w:rFonts w:ascii="Arial Narrow" w:hAnsi="Arial Narrow" w:cs="Tahoma"/>
          <w:i/>
          <w:sz w:val="20"/>
          <w:szCs w:val="20"/>
        </w:rPr>
        <w:t>20.1.2 Mediante telegrama, correo certificado, telefax, o cualquier otro medio que permita comprobar fehacientemente su acuse de recibo y quien lo recibe, siempre que el empleo de cualquiera de estos medios hubiese sido solicitado expresamente por el administrado.</w:t>
      </w:r>
    </w:p>
    <w:p w:rsidR="00D026E4" w:rsidRPr="00F45C55" w:rsidRDefault="00D026E4" w:rsidP="00D026E4">
      <w:pPr>
        <w:ind w:left="567"/>
        <w:jc w:val="both"/>
        <w:rPr>
          <w:rFonts w:ascii="Arial Narrow" w:hAnsi="Arial Narrow" w:cs="Tahoma"/>
          <w:i/>
          <w:sz w:val="20"/>
          <w:szCs w:val="20"/>
        </w:rPr>
      </w:pPr>
      <w:r w:rsidRPr="00F45C55">
        <w:rPr>
          <w:rFonts w:ascii="Arial Narrow" w:hAnsi="Arial Narrow" w:cs="Tahoma"/>
          <w:i/>
          <w:sz w:val="20"/>
          <w:szCs w:val="20"/>
        </w:rPr>
        <w:t>20.1.3 Por publicación en el Diario Oficial y en uno de los diarios de mayor circulación en el territorio nacional, salvo disposición distinta de la ley</w:t>
      </w:r>
    </w:p>
    <w:p w:rsidR="00D026E4" w:rsidRPr="00F45C55" w:rsidRDefault="00D026E4" w:rsidP="00D026E4">
      <w:pPr>
        <w:ind w:left="567"/>
        <w:jc w:val="both"/>
        <w:rPr>
          <w:rFonts w:ascii="Arial Narrow" w:hAnsi="Arial Narrow" w:cs="Tahoma"/>
          <w:i/>
          <w:sz w:val="20"/>
          <w:szCs w:val="20"/>
        </w:rPr>
      </w:pPr>
    </w:p>
    <w:p w:rsidR="00D026E4" w:rsidRPr="00F45C55" w:rsidRDefault="00D026E4" w:rsidP="00D026E4">
      <w:pPr>
        <w:ind w:left="567"/>
        <w:jc w:val="both"/>
        <w:rPr>
          <w:rFonts w:ascii="Arial Narrow" w:hAnsi="Arial Narrow" w:cs="Tahoma"/>
          <w:i/>
          <w:sz w:val="20"/>
          <w:szCs w:val="20"/>
        </w:rPr>
      </w:pPr>
      <w:r w:rsidRPr="00F45C55">
        <w:rPr>
          <w:rFonts w:ascii="Arial Narrow" w:hAnsi="Arial Narrow" w:cs="Tahoma"/>
          <w:i/>
          <w:sz w:val="20"/>
          <w:szCs w:val="20"/>
        </w:rPr>
        <w:t>20.2 La autoridad no podrá suplir alguna modalidad con otra, bajo sanción de nulidad de la notificación. Podrá acudir complementariamente de aquellas otras, si así lo estimare conveniente para mejorar las posibilidades de participación de los administrados.”</w:t>
      </w:r>
    </w:p>
    <w:p w:rsidR="00D026E4" w:rsidRPr="00F45C55" w:rsidRDefault="00D026E4" w:rsidP="00D026E4">
      <w:pPr>
        <w:rPr>
          <w:rFonts w:ascii="Tahoma" w:hAnsi="Tahoma" w:cs="Tahoma"/>
          <w:sz w:val="20"/>
          <w:szCs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En virtud de la norma citada se aprecia que debe existir un orden de prelación en las modalidades de notificación cuya inobservancia acarrea su nulidad.</w:t>
      </w:r>
    </w:p>
    <w:p w:rsidR="00D026E4" w:rsidRPr="00F45C55" w:rsidRDefault="00D026E4" w:rsidP="00D026E4">
      <w:pPr>
        <w:ind w:left="567"/>
        <w:jc w:val="both"/>
        <w:rPr>
          <w:rFonts w:ascii="Tahoma" w:hAnsi="Tahoma" w:cs="Tahoma"/>
          <w:sz w:val="20"/>
          <w:szCs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 xml:space="preserve">Asimismo, el numeral 21.1 del artículo 21 de la citada norma establece que “La notificación personal se hará en el domicilio que conste en el expediente o en el último domicilio que la persona a quien deba notificar haya señalado ante el órgano administrativo en otro procedimiento análogo en la propia entidad dentro del último año. </w:t>
      </w:r>
    </w:p>
    <w:p w:rsidR="00D026E4" w:rsidRPr="00F45C55" w:rsidRDefault="00D026E4" w:rsidP="00D026E4">
      <w:pPr>
        <w:pStyle w:val="Prrafodelista"/>
        <w:rPr>
          <w:rFonts w:ascii="Tahoma" w:hAnsi="Tahoma" w:cs="Tahoma"/>
          <w:sz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En ese sentido, y de acuerdo a la Propuesta Técnica del Postor se advierte que el Anexo Nº 01 este consignó como domicilio legal el Nº 120 de la calle Enrique Camino Brent en Miraflores.</w:t>
      </w:r>
    </w:p>
    <w:p w:rsidR="00D026E4" w:rsidRPr="00F45C55" w:rsidRDefault="00D026E4" w:rsidP="00D026E4">
      <w:pPr>
        <w:pStyle w:val="Prrafodelista"/>
        <w:rPr>
          <w:rFonts w:ascii="Tahoma" w:hAnsi="Tahoma" w:cs="Tahoma"/>
          <w:sz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En virtud de lo ya mencionado, este colegiado requirió a la Entidad que informase si el Postor autorizó de manera expresa que lo citaran para la suscripción del contrato vía facsímil. En vista de ello, mediante Oficio Nº 1015-2010-DRC-C/MC remitido a este Tribunal el 13 de mayo de 2011, la Entidad señaló que la autorización para la citación</w:t>
      </w:r>
      <w:r>
        <w:rPr>
          <w:rFonts w:ascii="Tahoma" w:hAnsi="Tahoma" w:cs="Tahoma"/>
          <w:sz w:val="20"/>
          <w:szCs w:val="20"/>
        </w:rPr>
        <w:t xml:space="preserve"> correspondiente, </w:t>
      </w:r>
      <w:r w:rsidRPr="00F45C55">
        <w:rPr>
          <w:rFonts w:ascii="Tahoma" w:hAnsi="Tahoma" w:cs="Tahoma"/>
          <w:sz w:val="20"/>
          <w:szCs w:val="20"/>
        </w:rPr>
        <w:t xml:space="preserve">se encuentra en el Anexo Nº 01 de su Propuesta Técnica. Sin embargo se puede advertir que dicho Anexo es una declaración jurada donde el Postor indica que los datos correspondientes a su domicilio, RUC, teléfono y fax son datos que se sujetan a la verdad, no existiendo una declaración que implique que éste autorizó que las notificaciones se produzcan vía facsímil, por lo tanto, no se puede deducir que dicha declaración que formó parte de la Propuesta Técnica es la correspondiente a una solicitud expresa de autorización para </w:t>
      </w:r>
      <w:r>
        <w:rPr>
          <w:rFonts w:ascii="Tahoma" w:hAnsi="Tahoma" w:cs="Tahoma"/>
          <w:sz w:val="20"/>
          <w:szCs w:val="20"/>
        </w:rPr>
        <w:t>efectos de la notificación</w:t>
      </w:r>
      <w:r w:rsidRPr="00F45C55">
        <w:rPr>
          <w:rFonts w:ascii="Tahoma" w:hAnsi="Tahoma" w:cs="Tahoma"/>
          <w:sz w:val="20"/>
          <w:szCs w:val="20"/>
        </w:rPr>
        <w:t>.</w:t>
      </w:r>
    </w:p>
    <w:p w:rsidR="00D026E4" w:rsidRPr="00F45C55" w:rsidRDefault="00D026E4" w:rsidP="00D026E4">
      <w:pPr>
        <w:pStyle w:val="Prrafodelista"/>
        <w:rPr>
          <w:rFonts w:ascii="Tahoma" w:hAnsi="Tahoma" w:cs="Tahoma"/>
          <w:sz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Por lo tanto, y siendo que lo mencionado ha sido objeto de anteriores pronunciamientos</w:t>
      </w:r>
      <w:r w:rsidRPr="00F45C55">
        <w:rPr>
          <w:rFonts w:ascii="Tahoma" w:hAnsi="Tahoma" w:cs="Tahoma"/>
          <w:sz w:val="20"/>
          <w:szCs w:val="20"/>
          <w:vertAlign w:val="superscript"/>
          <w:lang w:val="es-PE"/>
        </w:rPr>
        <w:footnoteReference w:id="2"/>
      </w:r>
      <w:r w:rsidRPr="00F45C55">
        <w:rPr>
          <w:rFonts w:ascii="Tahoma" w:hAnsi="Tahoma" w:cs="Tahoma"/>
          <w:sz w:val="20"/>
          <w:szCs w:val="20"/>
          <w:lang w:val="es-PE"/>
        </w:rPr>
        <w:t xml:space="preserve"> </w:t>
      </w:r>
      <w:r w:rsidRPr="00F45C55">
        <w:rPr>
          <w:rFonts w:ascii="Tahoma" w:hAnsi="Tahoma" w:cs="Tahoma"/>
          <w:sz w:val="20"/>
          <w:szCs w:val="20"/>
        </w:rPr>
        <w:t xml:space="preserve"> y teniendo en cuenta que la Entidad debió observar el orden de prelación dispuesto en la normativa a fin de citar al Postor para la suscripción del contrato, privilegiando la notificación personal y reservándose el uso de medios alternos de notificación, hecho que no se ha producido</w:t>
      </w:r>
      <w:r>
        <w:rPr>
          <w:rFonts w:ascii="Tahoma" w:hAnsi="Tahoma" w:cs="Tahoma"/>
          <w:sz w:val="20"/>
          <w:szCs w:val="20"/>
        </w:rPr>
        <w:t>, este Colegiado debe</w:t>
      </w:r>
      <w:r w:rsidRPr="00F45C55">
        <w:rPr>
          <w:rFonts w:ascii="Tahoma" w:hAnsi="Tahoma" w:cs="Tahoma"/>
          <w:sz w:val="20"/>
          <w:szCs w:val="20"/>
        </w:rPr>
        <w:t xml:space="preserve"> concluir que la notificación vía facsímil no es válida, más aun teniendo en cuenta que la misma no fue autorizada por el Postor.</w:t>
      </w:r>
    </w:p>
    <w:p w:rsidR="00D026E4" w:rsidRPr="00F45C55" w:rsidRDefault="00D026E4" w:rsidP="00D026E4">
      <w:pPr>
        <w:pStyle w:val="Prrafodelista"/>
        <w:rPr>
          <w:rFonts w:ascii="Tahoma" w:hAnsi="Tahoma" w:cs="Tahoma"/>
          <w:sz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 xml:space="preserve">En relación a lo manifestado cabe señalar que las disposiciones contenidas en la Ley y su Reglamento, así como en el presente caso a la Ley de Procedimiento Administrativo General de manera supletoria, son de obligatorio cumplimiento por las partes involucradas en los procesos de selección, ya que son las normas que deben observar tanto los administrados como la Administración, quienes deberán también actuar con respeto a la Constitución , la ley y al derecho, dentro de las facultades que le estén atribuidas y de acuerdo con los fines para los que les fueron conferidas, a tener del Principio de Legalidad recogido en el inciso 1.1 del artículo IV del Título Preliminar de la Ley Nº 27444, Ley de Procedimiento Administrativo Genera, el cual desdobla en tres elementos esenciales e indisolubles, a saber: (i) </w:t>
      </w:r>
      <w:r w:rsidRPr="00F45C55">
        <w:rPr>
          <w:rFonts w:ascii="Tahoma" w:hAnsi="Tahoma" w:cs="Tahoma"/>
          <w:b/>
          <w:sz w:val="20"/>
          <w:szCs w:val="20"/>
        </w:rPr>
        <w:t>la legalidad formal, que exige el sometimiento al procedimiento previamente regulado</w:t>
      </w:r>
      <w:r w:rsidRPr="00F45C55">
        <w:rPr>
          <w:rFonts w:ascii="Tahoma" w:hAnsi="Tahoma" w:cs="Tahoma"/>
          <w:sz w:val="20"/>
          <w:szCs w:val="20"/>
        </w:rPr>
        <w:t>, (ii) la legalidad sustantiva, referente al contenido de las materias que le son atribuidas y (iii) la legalidad teleológica, que obliga al cumplimiento de los fines que el legislador estableció.</w:t>
      </w:r>
    </w:p>
    <w:p w:rsidR="00D026E4" w:rsidRPr="00F45C55" w:rsidRDefault="00D026E4" w:rsidP="00D026E4">
      <w:pPr>
        <w:pStyle w:val="Prrafodelista"/>
        <w:rPr>
          <w:rFonts w:ascii="Tahoma" w:hAnsi="Tahoma" w:cs="Tahoma"/>
          <w:sz w:val="20"/>
        </w:rPr>
      </w:pPr>
    </w:p>
    <w:p w:rsidR="00D026E4" w:rsidRPr="00F45C55" w:rsidRDefault="00D026E4" w:rsidP="00D026E4">
      <w:pPr>
        <w:numPr>
          <w:ilvl w:val="0"/>
          <w:numId w:val="10"/>
        </w:numPr>
        <w:tabs>
          <w:tab w:val="clear" w:pos="360"/>
        </w:tabs>
        <w:ind w:left="567" w:hanging="567"/>
        <w:jc w:val="both"/>
        <w:rPr>
          <w:rFonts w:ascii="Tahoma" w:hAnsi="Tahoma" w:cs="Tahoma"/>
          <w:sz w:val="20"/>
          <w:szCs w:val="20"/>
        </w:rPr>
      </w:pPr>
      <w:r w:rsidRPr="00F45C55">
        <w:rPr>
          <w:rFonts w:ascii="Tahoma" w:hAnsi="Tahoma" w:cs="Tahoma"/>
          <w:sz w:val="20"/>
          <w:szCs w:val="20"/>
        </w:rPr>
        <w:t xml:space="preserve">Aunado a ello, el numeral 4 del artículo 230 de la Ley Nº 27444 consagra el Principio de Tipicidad, el cual prevé que las conductas expresamente descritas como sancionables no pueden admitir interpretación extensiva o análoga. Por su parte el numeral 2) del citado </w:t>
      </w:r>
      <w:r w:rsidRPr="00F45C55">
        <w:rPr>
          <w:rFonts w:ascii="Tahoma" w:hAnsi="Tahoma" w:cs="Tahoma"/>
          <w:sz w:val="20"/>
          <w:szCs w:val="20"/>
        </w:rPr>
        <w:lastRenderedPageBreak/>
        <w:t>artículo contempla el Principio del Debido Procedimiento mediante el cual las Entidades aplicaran sanciones sujetando a su actuación al procedimiento establecido, respetando las garantías inherentes al debido procedimiento.</w:t>
      </w:r>
    </w:p>
    <w:p w:rsidR="00D026E4" w:rsidRPr="00F45C55" w:rsidRDefault="00D026E4" w:rsidP="00D026E4">
      <w:pPr>
        <w:pStyle w:val="Prrafodelista"/>
        <w:rPr>
          <w:rFonts w:ascii="Tahoma" w:hAnsi="Tahoma" w:cs="Tahoma"/>
          <w:sz w:val="20"/>
        </w:rPr>
      </w:pPr>
    </w:p>
    <w:p w:rsidR="00D026E4" w:rsidRPr="00D026E4" w:rsidRDefault="00D026E4" w:rsidP="00D026E4">
      <w:pPr>
        <w:numPr>
          <w:ilvl w:val="0"/>
          <w:numId w:val="10"/>
        </w:numPr>
        <w:tabs>
          <w:tab w:val="clear" w:pos="360"/>
        </w:tabs>
        <w:ind w:left="567" w:hanging="567"/>
        <w:jc w:val="both"/>
        <w:rPr>
          <w:rFonts w:ascii="Tahoma" w:hAnsi="Tahoma" w:cs="Tahoma"/>
          <w:sz w:val="22"/>
          <w:szCs w:val="22"/>
        </w:rPr>
      </w:pPr>
      <w:r w:rsidRPr="00F45C55">
        <w:rPr>
          <w:rFonts w:ascii="Tahoma" w:hAnsi="Tahoma" w:cs="Tahoma"/>
          <w:sz w:val="20"/>
          <w:szCs w:val="20"/>
        </w:rPr>
        <w:t xml:space="preserve">Consecuentemente, este Tribunal considera que no se ha configurado el presupuesto </w:t>
      </w:r>
      <w:r w:rsidRPr="00D026E4">
        <w:rPr>
          <w:rFonts w:ascii="Tahoma" w:hAnsi="Tahoma" w:cs="Tahoma"/>
          <w:sz w:val="22"/>
          <w:szCs w:val="22"/>
        </w:rPr>
        <w:t>necesario para la infracción prevista en el literal a) del numeral 51.1 del artículo 51 de la Ley en concordancia con el literal a) del numeral 1 del artículo 237 del Reglamento y, por su efecto, este Tribunal considera que corresponde declarar no ha lugar a la imposición de sanción administrativa contra el Postor por su supuesta responsabilidad en la no suscripción del contrato.</w:t>
      </w:r>
    </w:p>
    <w:p w:rsidR="00D026E4" w:rsidRPr="00D026E4" w:rsidRDefault="00D026E4" w:rsidP="00D026E4">
      <w:pPr>
        <w:jc w:val="both"/>
        <w:rPr>
          <w:rFonts w:ascii="Tahoma" w:hAnsi="Tahoma" w:cs="Tahoma"/>
          <w:sz w:val="22"/>
          <w:szCs w:val="22"/>
        </w:rPr>
      </w:pPr>
    </w:p>
    <w:p w:rsidR="00D026E4" w:rsidRPr="00D026E4" w:rsidRDefault="00D026E4" w:rsidP="00D026E4">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D026E4">
        <w:rPr>
          <w:rFonts w:ascii="Tahoma" w:eastAsiaTheme="minorHAnsi" w:hAnsi="Tahoma" w:cs="Tahoma"/>
          <w:color w:val="000000"/>
          <w:sz w:val="22"/>
          <w:szCs w:val="22"/>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026E4" w:rsidRPr="00D026E4" w:rsidRDefault="00D026E4" w:rsidP="00D026E4">
      <w:pPr>
        <w:ind w:firstLine="426"/>
        <w:jc w:val="both"/>
        <w:rPr>
          <w:rFonts w:ascii="Tahoma" w:hAnsi="Tahoma" w:cs="Tahoma"/>
          <w:sz w:val="22"/>
          <w:szCs w:val="22"/>
        </w:rPr>
      </w:pPr>
    </w:p>
    <w:p w:rsidR="00D026E4" w:rsidRPr="00D026E4" w:rsidRDefault="00D026E4" w:rsidP="00D026E4">
      <w:pPr>
        <w:ind w:firstLine="567"/>
        <w:jc w:val="both"/>
        <w:rPr>
          <w:rFonts w:ascii="Tahoma" w:hAnsi="Tahoma" w:cs="Tahoma"/>
          <w:b/>
          <w:sz w:val="22"/>
          <w:szCs w:val="22"/>
        </w:rPr>
      </w:pPr>
      <w:r w:rsidRPr="00D026E4">
        <w:rPr>
          <w:rFonts w:ascii="Tahoma" w:hAnsi="Tahoma" w:cs="Tahoma"/>
          <w:b/>
          <w:sz w:val="22"/>
          <w:szCs w:val="22"/>
        </w:rPr>
        <w:t xml:space="preserve">LA SALA RESUELVE: </w:t>
      </w:r>
    </w:p>
    <w:p w:rsidR="00D026E4" w:rsidRPr="00D026E4" w:rsidRDefault="00D026E4" w:rsidP="00D026E4">
      <w:pPr>
        <w:jc w:val="both"/>
        <w:rPr>
          <w:rFonts w:ascii="Tahoma" w:hAnsi="Tahoma" w:cs="Tahoma"/>
          <w:snapToGrid w:val="0"/>
          <w:sz w:val="22"/>
          <w:szCs w:val="22"/>
        </w:rPr>
      </w:pPr>
    </w:p>
    <w:p w:rsidR="00D026E4" w:rsidRPr="00D026E4" w:rsidRDefault="00D026E4" w:rsidP="00D026E4">
      <w:pPr>
        <w:numPr>
          <w:ilvl w:val="0"/>
          <w:numId w:val="11"/>
        </w:numPr>
        <w:ind w:left="567" w:hanging="425"/>
        <w:jc w:val="both"/>
        <w:rPr>
          <w:rFonts w:ascii="Tahoma" w:hAnsi="Tahoma" w:cs="Tahoma"/>
          <w:sz w:val="22"/>
          <w:szCs w:val="22"/>
        </w:rPr>
      </w:pPr>
      <w:r w:rsidRPr="00D026E4">
        <w:rPr>
          <w:rFonts w:ascii="Tahoma" w:hAnsi="Tahoma" w:cs="Tahoma"/>
          <w:sz w:val="22"/>
          <w:szCs w:val="22"/>
        </w:rPr>
        <w:t xml:space="preserve">Declarar no ha lugar la imposición de sanción administrativa en contra </w:t>
      </w:r>
      <w:r w:rsidRPr="00D026E4">
        <w:rPr>
          <w:rFonts w:ascii="Tahoma" w:eastAsia="MS Mincho" w:hAnsi="Tahoma" w:cs="Tahoma"/>
          <w:sz w:val="22"/>
          <w:szCs w:val="22"/>
          <w:lang w:val="es-ES_tradnl"/>
        </w:rPr>
        <w:t>el Consorcio conformado por las empresas</w:t>
      </w:r>
      <w:r w:rsidRPr="00D026E4">
        <w:rPr>
          <w:rFonts w:ascii="Tahoma" w:hAnsi="Tahoma" w:cs="Tahoma"/>
          <w:sz w:val="22"/>
          <w:szCs w:val="22"/>
        </w:rPr>
        <w:t xml:space="preserve"> Confecciones y Creaciones Modernas SAC y Francisco Jaime Sánchez Haro SAC.</w:t>
      </w:r>
      <w:r w:rsidRPr="00D026E4">
        <w:rPr>
          <w:rFonts w:ascii="Tahoma" w:eastAsia="MS Mincho" w:hAnsi="Tahoma" w:cs="Tahoma"/>
          <w:sz w:val="22"/>
          <w:szCs w:val="22"/>
          <w:lang w:val="es-ES_tradnl"/>
        </w:rPr>
        <w:t>,</w:t>
      </w:r>
      <w:r w:rsidRPr="00D026E4">
        <w:rPr>
          <w:rFonts w:ascii="Tahoma" w:hAnsi="Tahoma" w:cs="Tahoma"/>
          <w:sz w:val="22"/>
          <w:szCs w:val="22"/>
        </w:rPr>
        <w:t xml:space="preserve"> por la comisión de la infracción prevista en el literal a) del numeral 51.1 del artículo 51 de la Ley en concordancia con el literal a) del numeral 1 del artículo 237 del Reglamento debiendo archivarse el presente expediente.</w:t>
      </w:r>
    </w:p>
    <w:p w:rsidR="00D026E4" w:rsidRPr="00D026E4" w:rsidRDefault="00D026E4" w:rsidP="00D026E4">
      <w:pPr>
        <w:tabs>
          <w:tab w:val="left" w:pos="180"/>
        </w:tabs>
        <w:ind w:left="567"/>
        <w:jc w:val="both"/>
        <w:rPr>
          <w:rFonts w:ascii="Tahoma" w:hAnsi="Tahoma" w:cs="Tahoma"/>
          <w:sz w:val="22"/>
          <w:szCs w:val="22"/>
          <w:lang w:val="es-PE"/>
        </w:rPr>
      </w:pPr>
    </w:p>
    <w:p w:rsidR="00D026E4" w:rsidRPr="00D026E4" w:rsidRDefault="00D026E4" w:rsidP="00D026E4">
      <w:pPr>
        <w:pStyle w:val="Textoindependiente21"/>
        <w:ind w:firstLine="567"/>
        <w:rPr>
          <w:rFonts w:cs="Tahoma"/>
          <w:szCs w:val="22"/>
        </w:rPr>
      </w:pPr>
      <w:r w:rsidRPr="00D026E4">
        <w:rPr>
          <w:rFonts w:cs="Tahoma"/>
          <w:szCs w:val="22"/>
        </w:rPr>
        <w:t>Regístrese, comuníquese y publíquese.</w:t>
      </w:r>
    </w:p>
    <w:p w:rsidR="00D026E4" w:rsidRPr="00D026E4" w:rsidRDefault="00D026E4" w:rsidP="00D026E4">
      <w:pPr>
        <w:pStyle w:val="Textoindependiente21"/>
        <w:ind w:firstLine="567"/>
        <w:rPr>
          <w:rFonts w:cs="Tahoma"/>
          <w:szCs w:val="22"/>
        </w:rPr>
      </w:pPr>
    </w:p>
    <w:p w:rsidR="00D026E4" w:rsidRPr="00D026E4" w:rsidRDefault="00D026E4" w:rsidP="00D026E4">
      <w:pPr>
        <w:jc w:val="center"/>
        <w:rPr>
          <w:rFonts w:ascii="Tahoma" w:hAnsi="Tahoma" w:cs="Tahoma"/>
          <w:b/>
          <w:sz w:val="22"/>
          <w:szCs w:val="22"/>
        </w:rPr>
      </w:pPr>
    </w:p>
    <w:p w:rsidR="00D026E4" w:rsidRDefault="00D026E4" w:rsidP="00D026E4">
      <w:pPr>
        <w:jc w:val="center"/>
        <w:rPr>
          <w:rFonts w:ascii="Tahoma" w:hAnsi="Tahoma" w:cs="Tahoma"/>
          <w:b/>
          <w:sz w:val="22"/>
          <w:szCs w:val="22"/>
        </w:rPr>
      </w:pPr>
    </w:p>
    <w:p w:rsidR="00D026E4" w:rsidRPr="00D026E4" w:rsidRDefault="00D026E4" w:rsidP="00D026E4">
      <w:pPr>
        <w:jc w:val="center"/>
        <w:rPr>
          <w:rFonts w:ascii="Tahoma" w:hAnsi="Tahoma" w:cs="Tahoma"/>
          <w:b/>
          <w:sz w:val="22"/>
          <w:szCs w:val="22"/>
        </w:rPr>
      </w:pPr>
    </w:p>
    <w:p w:rsidR="00D026E4" w:rsidRPr="00D026E4" w:rsidRDefault="00D026E4" w:rsidP="00D026E4">
      <w:pPr>
        <w:jc w:val="center"/>
        <w:rPr>
          <w:rFonts w:ascii="Tahoma" w:hAnsi="Tahoma" w:cs="Tahoma"/>
          <w:b/>
          <w:shadow/>
          <w:sz w:val="20"/>
          <w:szCs w:val="20"/>
          <w:lang w:val="pt-BR"/>
        </w:rPr>
      </w:pPr>
      <w:r w:rsidRPr="00D026E4">
        <w:rPr>
          <w:rFonts w:ascii="Tahoma" w:hAnsi="Tahoma" w:cs="Tahoma"/>
          <w:b/>
          <w:shadow/>
          <w:sz w:val="20"/>
          <w:szCs w:val="20"/>
          <w:lang w:val="pt-BR"/>
        </w:rPr>
        <w:t>PRESIDENTE</w:t>
      </w:r>
    </w:p>
    <w:p w:rsidR="00D026E4" w:rsidRPr="00D026E4" w:rsidRDefault="00D026E4" w:rsidP="00D026E4">
      <w:pPr>
        <w:ind w:firstLine="708"/>
        <w:rPr>
          <w:rFonts w:ascii="Tahoma" w:hAnsi="Tahoma" w:cs="Tahoma"/>
          <w:b/>
          <w:shadow/>
          <w:sz w:val="20"/>
          <w:szCs w:val="20"/>
          <w:lang w:val="pt-BR"/>
        </w:rPr>
      </w:pPr>
    </w:p>
    <w:p w:rsidR="00D026E4" w:rsidRPr="00D026E4" w:rsidRDefault="00D026E4" w:rsidP="00D026E4">
      <w:pPr>
        <w:ind w:firstLine="708"/>
        <w:rPr>
          <w:rFonts w:ascii="Tahoma" w:hAnsi="Tahoma" w:cs="Tahoma"/>
          <w:b/>
          <w:shadow/>
          <w:sz w:val="20"/>
          <w:szCs w:val="20"/>
          <w:lang w:val="pt-BR"/>
        </w:rPr>
      </w:pPr>
      <w:r w:rsidRPr="00D026E4">
        <w:rPr>
          <w:rFonts w:ascii="Tahoma" w:hAnsi="Tahoma" w:cs="Tahoma"/>
          <w:b/>
          <w:shadow/>
          <w:sz w:val="20"/>
          <w:szCs w:val="20"/>
          <w:lang w:val="pt-BR"/>
        </w:rPr>
        <w:t xml:space="preserve">VOCAL           </w:t>
      </w:r>
      <w:r w:rsidRPr="00D026E4">
        <w:rPr>
          <w:rFonts w:ascii="Tahoma" w:hAnsi="Tahoma" w:cs="Tahoma"/>
          <w:b/>
          <w:shadow/>
          <w:sz w:val="20"/>
          <w:szCs w:val="20"/>
          <w:lang w:val="pt-BR"/>
        </w:rPr>
        <w:tab/>
      </w:r>
      <w:r w:rsidRPr="00D026E4">
        <w:rPr>
          <w:rFonts w:ascii="Tahoma" w:hAnsi="Tahoma" w:cs="Tahoma"/>
          <w:b/>
          <w:shadow/>
          <w:sz w:val="20"/>
          <w:szCs w:val="20"/>
          <w:lang w:val="pt-BR"/>
        </w:rPr>
        <w:tab/>
        <w:t xml:space="preserve">                                                                 VOCAL</w:t>
      </w:r>
    </w:p>
    <w:p w:rsidR="00D026E4" w:rsidRPr="00D026E4" w:rsidRDefault="00D026E4" w:rsidP="00D026E4">
      <w:pPr>
        <w:rPr>
          <w:rFonts w:ascii="Tahoma" w:hAnsi="Tahoma" w:cs="Tahoma"/>
          <w:sz w:val="20"/>
          <w:szCs w:val="20"/>
          <w:lang w:val="pt-BR"/>
        </w:rPr>
      </w:pPr>
    </w:p>
    <w:p w:rsidR="00D026E4" w:rsidRPr="00D026E4" w:rsidRDefault="00D026E4" w:rsidP="00D026E4">
      <w:pPr>
        <w:rPr>
          <w:rFonts w:ascii="Tahoma" w:hAnsi="Tahoma" w:cs="Tahoma"/>
          <w:sz w:val="20"/>
          <w:szCs w:val="20"/>
          <w:lang w:val="pt-BR"/>
        </w:rPr>
      </w:pPr>
    </w:p>
    <w:p w:rsidR="00D026E4" w:rsidRPr="00D026E4" w:rsidRDefault="00D026E4" w:rsidP="00D026E4">
      <w:pPr>
        <w:jc w:val="both"/>
        <w:rPr>
          <w:rFonts w:ascii="Tahoma" w:hAnsi="Tahoma" w:cs="Tahoma"/>
          <w:sz w:val="20"/>
          <w:szCs w:val="20"/>
          <w:lang w:val="pt-BR"/>
        </w:rPr>
      </w:pPr>
      <w:r w:rsidRPr="00D026E4">
        <w:rPr>
          <w:rFonts w:ascii="Tahoma" w:hAnsi="Tahoma" w:cs="Tahoma"/>
          <w:sz w:val="20"/>
          <w:szCs w:val="20"/>
          <w:lang w:val="pt-BR"/>
        </w:rPr>
        <w:t>ss.</w:t>
      </w:r>
    </w:p>
    <w:p w:rsidR="00D026E4" w:rsidRPr="00D026E4" w:rsidRDefault="00D026E4" w:rsidP="00D026E4">
      <w:pPr>
        <w:pStyle w:val="Textoindependiente21"/>
        <w:tabs>
          <w:tab w:val="left" w:pos="5250"/>
        </w:tabs>
        <w:rPr>
          <w:rFonts w:cs="Tahoma"/>
          <w:sz w:val="20"/>
          <w:lang w:val="pt-BR"/>
        </w:rPr>
      </w:pPr>
      <w:r w:rsidRPr="00D026E4">
        <w:rPr>
          <w:rFonts w:cs="Tahoma"/>
          <w:sz w:val="20"/>
          <w:lang w:val="pt-BR"/>
        </w:rPr>
        <w:t>Navas Rondón.</w:t>
      </w:r>
    </w:p>
    <w:p w:rsidR="00D026E4" w:rsidRPr="00D026E4" w:rsidRDefault="00D026E4" w:rsidP="00D026E4">
      <w:pPr>
        <w:pStyle w:val="Textoindependiente21"/>
        <w:tabs>
          <w:tab w:val="left" w:pos="5250"/>
        </w:tabs>
        <w:rPr>
          <w:rFonts w:cs="Tahoma"/>
          <w:sz w:val="20"/>
          <w:lang w:val="pt-BR"/>
        </w:rPr>
      </w:pPr>
      <w:r w:rsidRPr="00D026E4">
        <w:rPr>
          <w:rFonts w:cs="Tahoma"/>
          <w:sz w:val="20"/>
        </w:rPr>
        <w:t>Ramírez Maynetto.</w:t>
      </w:r>
    </w:p>
    <w:p w:rsidR="001D5C36" w:rsidRPr="00D026E4" w:rsidRDefault="00D026E4" w:rsidP="00D026E4">
      <w:pPr>
        <w:pStyle w:val="Textoindependiente21"/>
        <w:tabs>
          <w:tab w:val="left" w:pos="5250"/>
        </w:tabs>
        <w:rPr>
          <w:rFonts w:cs="Tahoma"/>
          <w:sz w:val="20"/>
          <w:lang w:val="pt-BR"/>
        </w:rPr>
      </w:pPr>
      <w:r w:rsidRPr="00D026E4">
        <w:rPr>
          <w:rFonts w:cs="Tahoma"/>
          <w:sz w:val="20"/>
          <w:lang w:val="pt-BR"/>
        </w:rPr>
        <w:t>Basulto Liewald.</w:t>
      </w:r>
    </w:p>
    <w:sectPr w:rsidR="001D5C36" w:rsidRPr="00D026E4"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52F" w:rsidRDefault="00DC252F" w:rsidP="00D026E4">
      <w:r>
        <w:separator/>
      </w:r>
    </w:p>
  </w:endnote>
  <w:endnote w:type="continuationSeparator" w:id="1">
    <w:p w:rsidR="00DC252F" w:rsidRDefault="00DC252F" w:rsidP="00D02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CA67DB">
            <w:pPr>
              <w:pStyle w:val="Piedepgina"/>
              <w:jc w:val="center"/>
            </w:pPr>
            <w:r>
              <w:t xml:space="preserve">Página </w:t>
            </w:r>
            <w:r w:rsidR="00DA3587">
              <w:rPr>
                <w:b/>
              </w:rPr>
              <w:fldChar w:fldCharType="begin"/>
            </w:r>
            <w:r>
              <w:rPr>
                <w:b/>
              </w:rPr>
              <w:instrText>PAGE</w:instrText>
            </w:r>
            <w:r w:rsidR="00DA3587">
              <w:rPr>
                <w:b/>
              </w:rPr>
              <w:fldChar w:fldCharType="separate"/>
            </w:r>
            <w:r w:rsidR="00282FEA">
              <w:rPr>
                <w:b/>
                <w:noProof/>
              </w:rPr>
              <w:t>1</w:t>
            </w:r>
            <w:r w:rsidR="00DA3587">
              <w:rPr>
                <w:b/>
              </w:rPr>
              <w:fldChar w:fldCharType="end"/>
            </w:r>
            <w:r>
              <w:t xml:space="preserve"> de </w:t>
            </w:r>
            <w:r w:rsidR="00DA3587">
              <w:rPr>
                <w:b/>
              </w:rPr>
              <w:fldChar w:fldCharType="begin"/>
            </w:r>
            <w:r>
              <w:rPr>
                <w:b/>
              </w:rPr>
              <w:instrText>NUMPAGES</w:instrText>
            </w:r>
            <w:r w:rsidR="00DA3587">
              <w:rPr>
                <w:b/>
              </w:rPr>
              <w:fldChar w:fldCharType="separate"/>
            </w:r>
            <w:r w:rsidR="00282FEA">
              <w:rPr>
                <w:b/>
                <w:noProof/>
              </w:rPr>
              <w:t>7</w:t>
            </w:r>
            <w:r w:rsidR="00DA3587">
              <w:rPr>
                <w:b/>
              </w:rPr>
              <w:fldChar w:fldCharType="end"/>
            </w:r>
          </w:p>
        </w:sdtContent>
      </w:sdt>
    </w:sdtContent>
  </w:sdt>
  <w:p w:rsidR="0035353E" w:rsidRDefault="00DC252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52F" w:rsidRDefault="00DC252F" w:rsidP="00D026E4">
      <w:r>
        <w:separator/>
      </w:r>
    </w:p>
  </w:footnote>
  <w:footnote w:type="continuationSeparator" w:id="1">
    <w:p w:rsidR="00DC252F" w:rsidRDefault="00DC252F" w:rsidP="00D026E4">
      <w:r>
        <w:continuationSeparator/>
      </w:r>
    </w:p>
  </w:footnote>
  <w:footnote w:id="2">
    <w:p w:rsidR="00D026E4" w:rsidRPr="00285227" w:rsidRDefault="00D026E4" w:rsidP="00D026E4">
      <w:pPr>
        <w:pStyle w:val="Textonotapie"/>
        <w:rPr>
          <w:rFonts w:ascii="Tahoma" w:hAnsi="Tahoma" w:cs="Tahoma"/>
          <w:i/>
          <w:sz w:val="16"/>
          <w:szCs w:val="16"/>
        </w:rPr>
      </w:pPr>
      <w:r w:rsidRPr="00285227">
        <w:rPr>
          <w:rStyle w:val="Refdenotaalpie"/>
          <w:rFonts w:ascii="Tahoma" w:hAnsi="Tahoma" w:cs="Tahoma"/>
          <w:i/>
          <w:sz w:val="16"/>
          <w:szCs w:val="16"/>
        </w:rPr>
        <w:footnoteRef/>
      </w:r>
      <w:r>
        <w:rPr>
          <w:rFonts w:ascii="Tahoma" w:hAnsi="Tahoma" w:cs="Tahoma"/>
          <w:i/>
          <w:sz w:val="16"/>
          <w:szCs w:val="16"/>
        </w:rPr>
        <w:t xml:space="preserve"> Resolución Nº 634-2011-TC-S1 del 13/04/2011, Resolución Nº 112-2011-TC-S2 del 27/01/2011, y Resolución Nº 2104-2010-TC-S4 del 08/11/2010</w:t>
      </w:r>
      <w:r w:rsidRPr="00285227">
        <w:rPr>
          <w:rFonts w:ascii="Tahoma" w:hAnsi="Tahoma" w:cs="Tahoma"/>
          <w:i/>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EA" w:rsidRDefault="00282FEA" w:rsidP="00282FEA">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82FEA" w:rsidRDefault="00282FEA" w:rsidP="00282FEA">
    <w:pPr>
      <w:pStyle w:val="Encabezado"/>
      <w:rPr>
        <w:noProof/>
      </w:rPr>
    </w:pPr>
  </w:p>
  <w:p w:rsidR="00282FEA" w:rsidRDefault="00282FEA" w:rsidP="00282FEA">
    <w:pPr>
      <w:pStyle w:val="Encabezado"/>
      <w:rPr>
        <w:noProof/>
      </w:rPr>
    </w:pPr>
  </w:p>
  <w:p w:rsidR="00282FEA" w:rsidRDefault="00282FEA" w:rsidP="00282FEA">
    <w:pPr>
      <w:pStyle w:val="Encabezado"/>
      <w:rPr>
        <w:noProof/>
      </w:rPr>
    </w:pPr>
  </w:p>
  <w:p w:rsidR="00282FEA" w:rsidRDefault="00282FEA" w:rsidP="00282FEA">
    <w:pPr>
      <w:pStyle w:val="Encabezado"/>
      <w:jc w:val="center"/>
    </w:pPr>
    <w:r>
      <w:rPr>
        <w:rFonts w:ascii="Monotype Corsiva" w:hAnsi="Monotype Corsiva"/>
        <w:b/>
        <w:sz w:val="44"/>
        <w:szCs w:val="44"/>
      </w:rPr>
      <w:t xml:space="preserve">Resolución Nº   </w:t>
    </w:r>
    <w:r>
      <w:rPr>
        <w:rFonts w:ascii="Tahoma" w:hAnsi="Tahoma" w:cs="Tahoma"/>
        <w:b/>
        <w:sz w:val="44"/>
        <w:szCs w:val="44"/>
      </w:rPr>
      <w:t>819-2011-TC-S1</w:t>
    </w:r>
  </w:p>
  <w:p w:rsidR="00282FEA" w:rsidRDefault="00282FE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53DC"/>
    <w:multiLevelType w:val="hybridMultilevel"/>
    <w:tmpl w:val="2984FB78"/>
    <w:lvl w:ilvl="0" w:tplc="4D925B2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9F8485C"/>
    <w:multiLevelType w:val="hybridMultilevel"/>
    <w:tmpl w:val="03E81A3C"/>
    <w:lvl w:ilvl="0" w:tplc="2096877C">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5E1931F5"/>
    <w:multiLevelType w:val="hybridMultilevel"/>
    <w:tmpl w:val="6B52A2B0"/>
    <w:lvl w:ilvl="0" w:tplc="EAB4C47A">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9836EF7"/>
    <w:multiLevelType w:val="hybridMultilevel"/>
    <w:tmpl w:val="B8C85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4"/>
  </w:num>
  <w:num w:numId="2">
    <w:abstractNumId w:val="3"/>
  </w:num>
  <w:num w:numId="3">
    <w:abstractNumId w:val="10"/>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6"/>
  </w:num>
  <w:num w:numId="9">
    <w:abstractNumId w:val="9"/>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D026E4"/>
    <w:rsid w:val="00196655"/>
    <w:rsid w:val="00282FEA"/>
    <w:rsid w:val="003F4C49"/>
    <w:rsid w:val="00496AD0"/>
    <w:rsid w:val="006F41ED"/>
    <w:rsid w:val="007F69F3"/>
    <w:rsid w:val="00A658EA"/>
    <w:rsid w:val="00A82688"/>
    <w:rsid w:val="00CA67DB"/>
    <w:rsid w:val="00D026E4"/>
    <w:rsid w:val="00DA3587"/>
    <w:rsid w:val="00DC252F"/>
    <w:rsid w:val="00E56F0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6E4"/>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026E4"/>
    <w:pPr>
      <w:spacing w:after="120"/>
    </w:pPr>
    <w:rPr>
      <w:sz w:val="16"/>
      <w:szCs w:val="16"/>
      <w:lang w:val="es-PE"/>
    </w:rPr>
  </w:style>
  <w:style w:type="character" w:customStyle="1" w:styleId="Textoindependiente3Car">
    <w:name w:val="Texto independiente 3 Car"/>
    <w:basedOn w:val="Fuentedeprrafopredeter"/>
    <w:link w:val="Textoindependiente3"/>
    <w:rsid w:val="00D026E4"/>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026E4"/>
    <w:pPr>
      <w:jc w:val="both"/>
    </w:pPr>
    <w:rPr>
      <w:rFonts w:ascii="Tahoma" w:hAnsi="Tahoma"/>
      <w:sz w:val="22"/>
      <w:szCs w:val="20"/>
    </w:rPr>
  </w:style>
  <w:style w:type="paragraph" w:styleId="Prrafodelista">
    <w:name w:val="List Paragraph"/>
    <w:basedOn w:val="Normal"/>
    <w:uiPriority w:val="34"/>
    <w:qFormat/>
    <w:rsid w:val="00D026E4"/>
    <w:pPr>
      <w:widowControl w:val="0"/>
      <w:suppressAutoHyphens/>
      <w:ind w:left="708"/>
    </w:pPr>
    <w:rPr>
      <w:szCs w:val="20"/>
      <w:lang w:val="es-ES_tradnl"/>
    </w:rPr>
  </w:style>
  <w:style w:type="paragraph" w:styleId="Piedepgina">
    <w:name w:val="footer"/>
    <w:basedOn w:val="Normal"/>
    <w:link w:val="PiedepginaCar"/>
    <w:uiPriority w:val="99"/>
    <w:unhideWhenUsed/>
    <w:rsid w:val="00D026E4"/>
    <w:pPr>
      <w:tabs>
        <w:tab w:val="center" w:pos="4252"/>
        <w:tab w:val="right" w:pos="8504"/>
      </w:tabs>
    </w:pPr>
  </w:style>
  <w:style w:type="character" w:customStyle="1" w:styleId="PiedepginaCar">
    <w:name w:val="Pie de página Car"/>
    <w:basedOn w:val="Fuentedeprrafopredeter"/>
    <w:link w:val="Piedepgina"/>
    <w:uiPriority w:val="99"/>
    <w:rsid w:val="00D026E4"/>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Car Car Car Car Car"/>
    <w:basedOn w:val="Normal"/>
    <w:link w:val="TextonotapieCar"/>
    <w:rsid w:val="00D026E4"/>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D026E4"/>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D026E4"/>
    <w:rPr>
      <w:rFonts w:cs="Times New Roman"/>
      <w:vertAlign w:val="superscript"/>
    </w:rPr>
  </w:style>
  <w:style w:type="paragraph" w:styleId="Sangradetextonormal">
    <w:name w:val="Body Text Indent"/>
    <w:basedOn w:val="Normal"/>
    <w:link w:val="SangradetextonormalCar"/>
    <w:uiPriority w:val="99"/>
    <w:rsid w:val="00D026E4"/>
    <w:pPr>
      <w:spacing w:after="120"/>
      <w:ind w:left="283"/>
    </w:pPr>
  </w:style>
  <w:style w:type="character" w:customStyle="1" w:styleId="SangradetextonormalCar">
    <w:name w:val="Sangría de texto normal Car"/>
    <w:basedOn w:val="Fuentedeprrafopredeter"/>
    <w:link w:val="Sangradetextonormal"/>
    <w:uiPriority w:val="99"/>
    <w:rsid w:val="00D026E4"/>
    <w:rPr>
      <w:rFonts w:ascii="Times New Roman" w:eastAsia="Times New Roman" w:hAnsi="Times New Roman" w:cs="Times New Roman"/>
      <w:sz w:val="24"/>
      <w:szCs w:val="24"/>
      <w:lang w:eastAsia="es-ES"/>
    </w:rPr>
  </w:style>
  <w:style w:type="paragraph" w:customStyle="1" w:styleId="p1">
    <w:name w:val="p1"/>
    <w:basedOn w:val="Normal"/>
    <w:rsid w:val="00D026E4"/>
    <w:pPr>
      <w:widowControl w:val="0"/>
      <w:tabs>
        <w:tab w:val="left" w:pos="16640"/>
      </w:tabs>
      <w:suppressAutoHyphens/>
      <w:spacing w:line="240" w:lineRule="atLeast"/>
      <w:ind w:left="7600"/>
      <w:jc w:val="both"/>
    </w:pPr>
    <w:rPr>
      <w:rFonts w:ascii="Times" w:hAnsi="Times"/>
      <w:szCs w:val="20"/>
      <w:lang w:eastAsia="ar-SA"/>
    </w:rPr>
  </w:style>
  <w:style w:type="paragraph" w:styleId="Textodeglobo">
    <w:name w:val="Balloon Text"/>
    <w:basedOn w:val="Normal"/>
    <w:link w:val="TextodegloboCar"/>
    <w:uiPriority w:val="99"/>
    <w:semiHidden/>
    <w:unhideWhenUsed/>
    <w:rsid w:val="00D026E4"/>
    <w:rPr>
      <w:rFonts w:ascii="Tahoma" w:hAnsi="Tahoma" w:cs="Tahoma"/>
      <w:sz w:val="16"/>
      <w:szCs w:val="16"/>
    </w:rPr>
  </w:style>
  <w:style w:type="character" w:customStyle="1" w:styleId="TextodegloboCar">
    <w:name w:val="Texto de globo Car"/>
    <w:basedOn w:val="Fuentedeprrafopredeter"/>
    <w:link w:val="Textodeglobo"/>
    <w:uiPriority w:val="99"/>
    <w:semiHidden/>
    <w:rsid w:val="00D026E4"/>
    <w:rPr>
      <w:rFonts w:ascii="Tahoma" w:eastAsia="Times New Roman" w:hAnsi="Tahoma" w:cs="Tahoma"/>
      <w:sz w:val="16"/>
      <w:szCs w:val="16"/>
      <w:lang w:eastAsia="es-ES"/>
    </w:rPr>
  </w:style>
  <w:style w:type="table" w:styleId="Tablaconcuadrcula">
    <w:name w:val="Table Grid"/>
    <w:basedOn w:val="Tablanormal"/>
    <w:uiPriority w:val="59"/>
    <w:rsid w:val="00D026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282FEA"/>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82FEA"/>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75054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2779</Words>
  <Characters>15287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2011-05-16T22:30:00Z</cp:lastPrinted>
  <dcterms:created xsi:type="dcterms:W3CDTF">2011-05-16T21:19:00Z</dcterms:created>
  <dcterms:modified xsi:type="dcterms:W3CDTF">2011-06-17T14:43:00Z</dcterms:modified>
</cp:coreProperties>
</file>